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pacing w:val="-2"/>
          <w:sz w:val="24"/>
          <w:lang w:val="en-GB"/>
        </w:rPr>
      </w:pPr>
      <w:r>
        <w:rPr>
          <w:rFonts w:ascii="Times New Roman" w:hAnsi="Times New Roman"/>
          <w:b/>
          <w:bCs/>
          <w:spacing w:val="-2"/>
          <w:sz w:val="24"/>
          <w:lang w:val="en-GB"/>
        </w:rPr>
        <w:t xml:space="preserve">Microeconomics 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pacing w:val="-2"/>
          <w:sz w:val="24"/>
          <w:lang w:val="en-GB"/>
        </w:rPr>
      </w:pPr>
      <w:r>
        <w:rPr>
          <w:rFonts w:ascii="Times New Roman" w:hAnsi="Times New Roman"/>
          <w:b/>
          <w:bCs/>
          <w:spacing w:val="-2"/>
          <w:sz w:val="24"/>
          <w:lang w:val="en-GB"/>
        </w:rPr>
        <w:t xml:space="preserve">Chapter 7 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4"/>
          <w:lang w:val="en-GB"/>
        </w:rPr>
      </w:pPr>
      <w:r>
        <w:rPr>
          <w:rFonts w:ascii="Times New Roman" w:hAnsi="Times New Roman"/>
          <w:b/>
          <w:bCs/>
          <w:spacing w:val="-2"/>
          <w:sz w:val="24"/>
          <w:lang w:val="en-GB"/>
        </w:rPr>
        <w:t>36</w:t>
      </w:r>
      <w:r>
        <w:rPr>
          <w:rFonts w:ascii="Times New Roman" w:hAnsi="Times New Roman" w:hint="eastAsia"/>
          <w:b/>
          <w:bCs/>
          <w:spacing w:val="-2"/>
          <w:sz w:val="24"/>
          <w:lang w:val="en-GB" w:eastAsia="ja-JP"/>
        </w:rPr>
        <w:t>A</w:t>
      </w:r>
      <w:r>
        <w:rPr>
          <w:rFonts w:ascii="Times New Roman" w:hAnsi="Times New Roman"/>
          <w:b/>
          <w:bCs/>
          <w:spacing w:val="-2"/>
          <w:sz w:val="24"/>
          <w:lang w:val="en-GB"/>
        </w:rPr>
        <w:t>.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>Key Problem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>a) See Figure 7.8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spacing w:val="-2"/>
          <w:sz w:val="24"/>
          <w:lang w:val="en-GB"/>
        </w:rPr>
      </w:pP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>Figure 7.</w:t>
      </w:r>
      <w:proofErr w:type="gramEnd"/>
      <w:r>
        <w:rPr>
          <w:rFonts w:ascii="Times New Roman" w:hAnsi="Times New Roman"/>
          <w:b/>
          <w:spacing w:val="-2"/>
          <w:sz w:val="24"/>
          <w:lang w:val="en-GB"/>
        </w:rPr>
        <w:t xml:space="preserve"> 8 (completed) 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4"/>
          <w:lang w:val="en-GB"/>
        </w:rPr>
      </w:pPr>
      <w:r>
        <w:rPr>
          <w:noProof/>
        </w:rPr>
        <w:drawing>
          <wp:inline distT="0" distB="0" distL="0" distR="0">
            <wp:extent cx="3297555" cy="275717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b)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It is easiest to answer this question by referring to the data in Table 7.3, although 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spacing w:val="-2"/>
          <w:sz w:val="24"/>
          <w:lang w:val="en-GB"/>
        </w:rPr>
        <w:tab/>
        <w:t>the answers could also be read off the graph.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>Output:</w:t>
      </w:r>
      <w:r>
        <w:rPr>
          <w:rFonts w:ascii="Times New Roman" w:hAnsi="Times New Roman"/>
          <w:spacing w:val="-2"/>
          <w:sz w:val="24"/>
          <w:lang w:val="en-GB"/>
        </w:rPr>
        <w:t xml:space="preserve"> </w:t>
      </w:r>
      <w:r>
        <w:rPr>
          <w:rFonts w:ascii="Times New Roman" w:hAnsi="Times New Roman"/>
          <w:spacing w:val="-2"/>
          <w:sz w:val="24"/>
          <w:lang w:val="en-GB"/>
        </w:rPr>
        <w:tab/>
        <w:t>30</w:t>
      </w:r>
      <w:r>
        <w:rPr>
          <w:rFonts w:ascii="Times New Roman" w:hAnsi="Times New Roman"/>
          <w:spacing w:val="-2"/>
          <w:sz w:val="24"/>
          <w:lang w:val="en-GB"/>
        </w:rPr>
        <w:tab/>
        <w:t>40</w:t>
      </w:r>
      <w:r>
        <w:rPr>
          <w:rFonts w:ascii="Times New Roman" w:hAnsi="Times New Roman"/>
          <w:spacing w:val="-2"/>
          <w:sz w:val="24"/>
          <w:lang w:val="en-GB"/>
        </w:rPr>
        <w:tab/>
        <w:t>50</w:t>
      </w:r>
      <w:r>
        <w:rPr>
          <w:rFonts w:ascii="Times New Roman" w:hAnsi="Times New Roman"/>
          <w:spacing w:val="-2"/>
          <w:sz w:val="24"/>
          <w:lang w:val="en-GB"/>
        </w:rPr>
        <w:tab/>
        <w:t>60</w:t>
      </w:r>
      <w:r>
        <w:rPr>
          <w:rFonts w:ascii="Times New Roman" w:hAnsi="Times New Roman"/>
          <w:spacing w:val="-2"/>
          <w:sz w:val="24"/>
          <w:lang w:val="en-GB"/>
        </w:rPr>
        <w:tab/>
        <w:t>70</w:t>
      </w:r>
      <w:r>
        <w:rPr>
          <w:rFonts w:ascii="Times New Roman" w:hAnsi="Times New Roman"/>
          <w:spacing w:val="-2"/>
          <w:sz w:val="24"/>
          <w:lang w:val="en-GB"/>
        </w:rPr>
        <w:tab/>
        <w:t>80</w:t>
      </w:r>
      <w:r>
        <w:rPr>
          <w:rFonts w:ascii="Times New Roman" w:hAnsi="Times New Roman"/>
          <w:spacing w:val="-2"/>
          <w:sz w:val="24"/>
          <w:lang w:val="en-GB"/>
        </w:rPr>
        <w:tab/>
        <w:t>90</w:t>
      </w:r>
      <w:r>
        <w:rPr>
          <w:rFonts w:ascii="Times New Roman" w:hAnsi="Times New Roman"/>
          <w:spacing w:val="-2"/>
          <w:sz w:val="24"/>
          <w:lang w:val="en-GB"/>
        </w:rPr>
        <w:tab/>
        <w:t>100</w:t>
      </w:r>
      <w:r>
        <w:rPr>
          <w:rFonts w:ascii="Times New Roman" w:hAnsi="Times New Roman"/>
          <w:spacing w:val="-2"/>
          <w:sz w:val="24"/>
          <w:lang w:val="en-GB"/>
        </w:rPr>
        <w:tab/>
        <w:t>110</w:t>
      </w:r>
      <w:r>
        <w:rPr>
          <w:rFonts w:ascii="Times New Roman" w:hAnsi="Times New Roman"/>
          <w:spacing w:val="-2"/>
          <w:sz w:val="24"/>
          <w:lang w:val="en-GB"/>
        </w:rPr>
        <w:tab/>
        <w:t>120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>Plant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1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2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2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3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3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5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5</w:t>
      </w:r>
      <w:r>
        <w:rPr>
          <w:rFonts w:ascii="Times New Roman" w:hAnsi="Times New Roman"/>
          <w:b/>
          <w:spacing w:val="-2"/>
          <w:sz w:val="24"/>
          <w:lang w:val="en-GB"/>
        </w:rPr>
        <w:tab/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c)</w:t>
      </w:r>
      <w:r>
        <w:rPr>
          <w:rFonts w:ascii="Times New Roman" w:hAnsi="Times New Roman"/>
          <w:spacing w:val="-2"/>
          <w:sz w:val="24"/>
          <w:lang w:val="en-GB"/>
        </w:rPr>
        <w:tab/>
        <w:t>See Figure 7.8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EXR"/>
        <w:tabs>
          <w:tab w:val="clear" w:pos="38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720" w:hanging="72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  <w:lang w:val="en-GB"/>
        </w:rPr>
        <w:t xml:space="preserve">       d)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>Plant 3    (</w:t>
      </w:r>
      <w:r>
        <w:rPr>
          <w:rFonts w:ascii="Times New Roman" w:hAnsi="Times New Roman"/>
          <w:sz w:val="24"/>
        </w:rPr>
        <w:t xml:space="preserve">Minimum efficient scale is the smallest level of output at which a firm is able to minimize long-run average cost.) </w:t>
      </w:r>
    </w:p>
    <w:p w:rsidR="008E3F27" w:rsidRDefault="008E3F27" w:rsidP="008E3F27">
      <w:pPr>
        <w:pStyle w:val="PRB"/>
        <w:tabs>
          <w:tab w:val="left" w:pos="-720"/>
          <w:tab w:val="left" w:pos="0"/>
          <w:tab w:val="left" w:pos="360"/>
        </w:tabs>
        <w:ind w:left="0"/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e)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Minimum long-run average cost is achieved at an output of </w:t>
      </w:r>
      <w:r>
        <w:rPr>
          <w:rFonts w:ascii="Times New Roman" w:hAnsi="Times New Roman"/>
          <w:b/>
          <w:spacing w:val="-2"/>
          <w:sz w:val="24"/>
          <w:lang w:val="en-GB"/>
        </w:rPr>
        <w:t>60</w:t>
      </w:r>
      <w:r>
        <w:rPr>
          <w:rFonts w:ascii="Times New Roman" w:hAnsi="Times New Roman"/>
          <w:spacing w:val="-2"/>
          <w:sz w:val="24"/>
          <w:lang w:val="en-GB"/>
        </w:rPr>
        <w:t>.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</w:tabs>
        <w:spacing w:after="0" w:line="240" w:lineRule="auto"/>
        <w:ind w:left="360" w:hanging="72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f)</w:t>
      </w:r>
      <w:r>
        <w:rPr>
          <w:rFonts w:ascii="Times New Roman" w:hAnsi="Times New Roman"/>
          <w:spacing w:val="-2"/>
          <w:sz w:val="24"/>
          <w:lang w:val="en-GB"/>
        </w:rPr>
        <w:tab/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 xml:space="preserve">Yes </w:t>
      </w:r>
      <w:r>
        <w:rPr>
          <w:rFonts w:ascii="Times New Roman" w:hAnsi="Times New Roman"/>
          <w:spacing w:val="-2"/>
          <w:sz w:val="24"/>
          <w:lang w:val="en-GB"/>
        </w:rPr>
        <w:t xml:space="preserve"> (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 xml:space="preserve">excess capacity exists because an output of 80 is below the output---90--- at </w:t>
      </w:r>
      <w:r>
        <w:rPr>
          <w:rFonts w:ascii="Times New Roman" w:hAnsi="Times New Roman"/>
          <w:spacing w:val="-2"/>
          <w:sz w:val="24"/>
          <w:lang w:val="en-GB"/>
        </w:rPr>
        <w:tab/>
        <w:t>which minimum average cost of $4 is achieved)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  <w:r>
        <w:rPr>
          <w:sz w:val="24"/>
        </w:rPr>
        <w:t xml:space="preserve"> 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</w:tabs>
        <w:spacing w:after="0" w:line="240" w:lineRule="auto"/>
        <w:ind w:left="360" w:hanging="360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g)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 w:hint="eastAsia"/>
          <w:spacing w:val="-2"/>
          <w:sz w:val="24"/>
          <w:lang w:val="en-GB" w:eastAsia="ja-JP"/>
        </w:rPr>
        <w:t xml:space="preserve">Output of </w:t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 xml:space="preserve">110 </w:t>
      </w:r>
      <w:r>
        <w:rPr>
          <w:rFonts w:ascii="Times New Roman" w:hAnsi="Times New Roman"/>
          <w:spacing w:val="-2"/>
          <w:sz w:val="24"/>
          <w:lang w:val="en-GB"/>
        </w:rPr>
        <w:t xml:space="preserve"> (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economic capacity is</w:t>
      </w:r>
      <w:r>
        <w:rPr>
          <w:rFonts w:ascii="Times New Roman" w:hAnsi="Times New Roman" w:hint="eastAsia"/>
          <w:spacing w:val="-2"/>
          <w:sz w:val="24"/>
          <w:lang w:val="en-GB" w:eastAsia="ja-JP"/>
        </w:rPr>
        <w:t xml:space="preserve"> </w:t>
      </w:r>
      <w:r>
        <w:rPr>
          <w:rFonts w:ascii="Times New Roman" w:hAnsi="Times New Roman"/>
          <w:spacing w:val="-2"/>
          <w:sz w:val="24"/>
          <w:lang w:val="en-GB"/>
        </w:rPr>
        <w:t xml:space="preserve">where short-run average costs are </w:t>
      </w:r>
      <w:r>
        <w:rPr>
          <w:rFonts w:ascii="Times New Roman" w:hAnsi="Times New Roman"/>
          <w:spacing w:val="-2"/>
          <w:sz w:val="24"/>
          <w:lang w:val="en-GB"/>
        </w:rPr>
        <w:tab/>
        <w:t>minimized)</w:t>
      </w: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proofErr w:type="gramStart"/>
      <w:r>
        <w:rPr>
          <w:rFonts w:ascii="Times New Roman" w:hAnsi="Times New Roman"/>
          <w:spacing w:val="-2"/>
          <w:sz w:val="24"/>
          <w:lang w:val="en-GB"/>
        </w:rPr>
        <w:t>h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Between the outputs of  </w:t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0 and </w:t>
      </w:r>
      <w:r>
        <w:rPr>
          <w:rFonts w:ascii="Times New Roman" w:hAnsi="Times New Roman" w:hint="eastAsia"/>
          <w:b/>
          <w:spacing w:val="-2"/>
          <w:sz w:val="24"/>
          <w:lang w:val="en-GB" w:eastAsia="ja-JP"/>
        </w:rPr>
        <w:t>6</w:t>
      </w:r>
      <w:r>
        <w:rPr>
          <w:rFonts w:ascii="Times New Roman" w:hAnsi="Times New Roman"/>
          <w:b/>
          <w:spacing w:val="-2"/>
          <w:sz w:val="24"/>
          <w:lang w:val="en-GB"/>
        </w:rPr>
        <w:t>0</w:t>
      </w:r>
      <w:r>
        <w:rPr>
          <w:rFonts w:ascii="Times New Roman" w:hAnsi="Times New Roman"/>
          <w:spacing w:val="-2"/>
          <w:sz w:val="24"/>
          <w:lang w:val="en-GB"/>
        </w:rPr>
        <w:t>, where long-run average costs are declining.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lastRenderedPageBreak/>
        <w:tab/>
      </w:r>
      <w:proofErr w:type="spellStart"/>
      <w:r>
        <w:rPr>
          <w:rFonts w:ascii="Times New Roman" w:hAnsi="Times New Roman"/>
          <w:spacing w:val="-2"/>
          <w:sz w:val="24"/>
          <w:lang w:val="en-GB"/>
        </w:rPr>
        <w:t>i</w:t>
      </w:r>
      <w:proofErr w:type="spellEnd"/>
      <w:r>
        <w:rPr>
          <w:rFonts w:ascii="Times New Roman" w:hAnsi="Times New Roman"/>
          <w:spacing w:val="-2"/>
          <w:sz w:val="24"/>
          <w:lang w:val="en-GB"/>
        </w:rPr>
        <w:t>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Between the outputs </w:t>
      </w:r>
      <w:proofErr w:type="gramStart"/>
      <w:r>
        <w:rPr>
          <w:rFonts w:ascii="Times New Roman" w:hAnsi="Times New Roman"/>
          <w:spacing w:val="-2"/>
          <w:sz w:val="24"/>
          <w:lang w:val="en-GB"/>
        </w:rPr>
        <w:t xml:space="preserve">of </w:t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 </w:t>
      </w:r>
      <w:r>
        <w:rPr>
          <w:rFonts w:ascii="Times New Roman" w:hAnsi="Times New Roman" w:hint="eastAsia"/>
          <w:b/>
          <w:spacing w:val="-2"/>
          <w:sz w:val="24"/>
          <w:lang w:val="en-GB" w:eastAsia="ja-JP"/>
        </w:rPr>
        <w:t>6</w:t>
      </w:r>
      <w:r>
        <w:rPr>
          <w:rFonts w:ascii="Times New Roman" w:hAnsi="Times New Roman"/>
          <w:b/>
          <w:spacing w:val="-2"/>
          <w:sz w:val="24"/>
          <w:lang w:val="en-GB"/>
        </w:rPr>
        <w:t>1</w:t>
      </w:r>
      <w:proofErr w:type="gramEnd"/>
      <w:r>
        <w:rPr>
          <w:rFonts w:ascii="Times New Roman" w:hAnsi="Times New Roman"/>
          <w:b/>
          <w:spacing w:val="-2"/>
          <w:sz w:val="24"/>
          <w:lang w:val="en-GB"/>
        </w:rPr>
        <w:t xml:space="preserve"> and 90</w:t>
      </w:r>
      <w:r>
        <w:rPr>
          <w:rFonts w:ascii="Times New Roman" w:hAnsi="Times New Roman"/>
          <w:spacing w:val="-2"/>
          <w:sz w:val="24"/>
          <w:lang w:val="en-GB"/>
        </w:rPr>
        <w:t>, where long-run average costs are constant.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8E3F27" w:rsidRDefault="008E3F27" w:rsidP="008E3F27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j)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Above the output </w:t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>of  90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, where long-run average costs are increasing.</w:t>
      </w:r>
    </w:p>
    <w:p w:rsidR="008E3F27" w:rsidRDefault="008E3F27" w:rsidP="008E3F27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8E3F27" w:rsidRDefault="008E3F27" w:rsidP="008E3F27">
      <w:pPr>
        <w:keepLines/>
        <w:tabs>
          <w:tab w:val="left" w:pos="-720"/>
          <w:tab w:val="left" w:pos="0"/>
          <w:tab w:val="left" w:pos="360"/>
          <w:tab w:val="left" w:pos="720"/>
        </w:tabs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keepLines/>
        <w:tabs>
          <w:tab w:val="left" w:pos="-720"/>
        </w:tabs>
        <w:ind w:left="360" w:hanging="360"/>
        <w:jc w:val="both"/>
        <w:rPr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ab/>
        <w:t>k)</w:t>
      </w:r>
      <w:r>
        <w:rPr>
          <w:spacing w:val="-2"/>
          <w:sz w:val="24"/>
          <w:lang w:val="en-GB"/>
        </w:rPr>
        <w:tab/>
        <w:t xml:space="preserve">The market is too small for plant sizes </w:t>
      </w:r>
      <w:r>
        <w:rPr>
          <w:b/>
          <w:spacing w:val="-2"/>
          <w:sz w:val="24"/>
          <w:lang w:val="en-GB"/>
        </w:rPr>
        <w:t xml:space="preserve">3, 4 and 5 </w:t>
      </w:r>
      <w:r>
        <w:rPr>
          <w:spacing w:val="-2"/>
          <w:sz w:val="24"/>
          <w:lang w:val="en-GB"/>
        </w:rPr>
        <w:t xml:space="preserve">since all have economic capacity </w:t>
      </w:r>
      <w:r>
        <w:rPr>
          <w:spacing w:val="-2"/>
          <w:sz w:val="24"/>
          <w:lang w:val="en-GB"/>
        </w:rPr>
        <w:tab/>
        <w:t>at outputs above 50.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38</w:t>
      </w:r>
      <w:r>
        <w:rPr>
          <w:rFonts w:hint="eastAsia"/>
          <w:b/>
          <w:bCs/>
          <w:spacing w:val="-2"/>
          <w:sz w:val="24"/>
          <w:lang w:val="en-GB" w:eastAsia="ja-JP"/>
        </w:rPr>
        <w:t>A</w:t>
      </w:r>
      <w:proofErr w:type="gramStart"/>
      <w:r>
        <w:rPr>
          <w:b/>
          <w:bCs/>
          <w:spacing w:val="-2"/>
          <w:sz w:val="24"/>
          <w:lang w:val="en-GB"/>
        </w:rPr>
        <w:t>.</w:t>
      </w:r>
      <w:r>
        <w:rPr>
          <w:spacing w:val="-2"/>
          <w:sz w:val="24"/>
          <w:lang w:val="en-GB"/>
        </w:rPr>
        <w:t xml:space="preserve">  a</w:t>
      </w:r>
      <w:proofErr w:type="gramEnd"/>
      <w:r>
        <w:rPr>
          <w:spacing w:val="-2"/>
          <w:sz w:val="24"/>
          <w:lang w:val="en-GB"/>
        </w:rPr>
        <w:t>)</w:t>
      </w:r>
      <w:r>
        <w:rPr>
          <w:rFonts w:hint="eastAsia"/>
          <w:spacing w:val="-2"/>
          <w:sz w:val="24"/>
          <w:lang w:val="en-GB" w:eastAsia="ja-JP"/>
        </w:rPr>
        <w:tab/>
      </w:r>
      <w:r>
        <w:rPr>
          <w:spacing w:val="-2"/>
          <w:sz w:val="24"/>
          <w:lang w:val="en-GB"/>
        </w:rPr>
        <w:t xml:space="preserve">plant 1:  </w:t>
      </w:r>
      <w:r>
        <w:rPr>
          <w:b/>
          <w:spacing w:val="-2"/>
          <w:sz w:val="24"/>
          <w:lang w:val="en-GB"/>
        </w:rPr>
        <w:t>50</w:t>
      </w:r>
      <w:r>
        <w:rPr>
          <w:spacing w:val="-2"/>
          <w:sz w:val="24"/>
          <w:lang w:val="en-GB"/>
        </w:rPr>
        <w:tab/>
        <w:t xml:space="preserve"> </w:t>
      </w:r>
      <w:r>
        <w:rPr>
          <w:spacing w:val="-2"/>
          <w:sz w:val="24"/>
          <w:lang w:val="en-GB"/>
        </w:rPr>
        <w:tab/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b/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ab/>
        <w:t xml:space="preserve">     </w:t>
      </w:r>
      <w:r>
        <w:rPr>
          <w:rFonts w:hint="eastAsia"/>
          <w:spacing w:val="-2"/>
          <w:sz w:val="24"/>
          <w:lang w:val="en-GB" w:eastAsia="ja-JP"/>
        </w:rPr>
        <w:tab/>
      </w:r>
      <w:r>
        <w:rPr>
          <w:rFonts w:hint="eastAsia"/>
          <w:spacing w:val="-2"/>
          <w:sz w:val="24"/>
          <w:lang w:val="en-GB" w:eastAsia="ja-JP"/>
        </w:rPr>
        <w:tab/>
      </w:r>
      <w:proofErr w:type="gramStart"/>
      <w:r>
        <w:rPr>
          <w:spacing w:val="-2"/>
          <w:sz w:val="24"/>
          <w:lang w:val="en-GB"/>
        </w:rPr>
        <w:t>plant</w:t>
      </w:r>
      <w:proofErr w:type="gramEnd"/>
      <w:r>
        <w:rPr>
          <w:spacing w:val="-2"/>
          <w:sz w:val="24"/>
          <w:lang w:val="en-GB"/>
        </w:rPr>
        <w:t xml:space="preserve"> 2:  </w:t>
      </w:r>
      <w:r>
        <w:rPr>
          <w:b/>
          <w:spacing w:val="-2"/>
          <w:sz w:val="24"/>
          <w:lang w:val="en-GB"/>
        </w:rPr>
        <w:t>60</w:t>
      </w:r>
      <w:r>
        <w:rPr>
          <w:spacing w:val="-2"/>
          <w:sz w:val="24"/>
          <w:lang w:val="en-GB"/>
        </w:rPr>
        <w:tab/>
      </w:r>
      <w:r>
        <w:rPr>
          <w:spacing w:val="-2"/>
          <w:sz w:val="24"/>
          <w:lang w:val="en-GB"/>
        </w:rPr>
        <w:tab/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b/>
          <w:spacing w:val="-2"/>
          <w:sz w:val="24"/>
          <w:lang w:val="en-GB" w:eastAsia="ja-JP"/>
        </w:rPr>
      </w:pPr>
      <w:r>
        <w:rPr>
          <w:rFonts w:hint="eastAsia"/>
          <w:spacing w:val="-2"/>
          <w:sz w:val="24"/>
          <w:lang w:val="en-GB" w:eastAsia="ja-JP"/>
        </w:rPr>
        <w:tab/>
      </w:r>
      <w:r>
        <w:rPr>
          <w:rFonts w:hint="eastAsia"/>
          <w:spacing w:val="-2"/>
          <w:sz w:val="24"/>
          <w:lang w:val="en-GB" w:eastAsia="ja-JP"/>
        </w:rPr>
        <w:tab/>
      </w:r>
      <w:r>
        <w:rPr>
          <w:rFonts w:hint="eastAsia"/>
          <w:spacing w:val="-2"/>
          <w:sz w:val="24"/>
          <w:lang w:val="en-GB" w:eastAsia="ja-JP"/>
        </w:rPr>
        <w:tab/>
      </w:r>
      <w:proofErr w:type="gramStart"/>
      <w:r>
        <w:rPr>
          <w:spacing w:val="-2"/>
          <w:sz w:val="24"/>
          <w:lang w:val="en-GB"/>
        </w:rPr>
        <w:t>plant</w:t>
      </w:r>
      <w:proofErr w:type="gramEnd"/>
      <w:r>
        <w:rPr>
          <w:spacing w:val="-2"/>
          <w:sz w:val="24"/>
          <w:lang w:val="en-GB"/>
        </w:rPr>
        <w:t xml:space="preserve"> 3:  </w:t>
      </w:r>
      <w:r>
        <w:rPr>
          <w:b/>
          <w:spacing w:val="-2"/>
          <w:sz w:val="24"/>
          <w:lang w:val="en-GB"/>
        </w:rPr>
        <w:t>80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rFonts w:hint="eastAsia"/>
          <w:b/>
          <w:spacing w:val="-2"/>
          <w:sz w:val="24"/>
          <w:lang w:val="en-GB" w:eastAsia="ja-JP"/>
        </w:rPr>
        <w:tab/>
      </w:r>
      <w:r>
        <w:rPr>
          <w:rFonts w:hint="eastAsia"/>
          <w:b/>
          <w:spacing w:val="-2"/>
          <w:sz w:val="24"/>
          <w:lang w:val="en-GB" w:eastAsia="ja-JP"/>
        </w:rPr>
        <w:tab/>
      </w:r>
      <w:r>
        <w:rPr>
          <w:rFonts w:hint="eastAsia"/>
          <w:b/>
          <w:spacing w:val="-2"/>
          <w:sz w:val="24"/>
          <w:lang w:val="en-GB" w:eastAsia="ja-JP"/>
        </w:rPr>
        <w:tab/>
      </w:r>
      <w:proofErr w:type="gramStart"/>
      <w:r>
        <w:rPr>
          <w:spacing w:val="-2"/>
          <w:sz w:val="24"/>
          <w:lang w:val="en-GB"/>
        </w:rPr>
        <w:t>plant</w:t>
      </w:r>
      <w:proofErr w:type="gramEnd"/>
      <w:r>
        <w:rPr>
          <w:spacing w:val="-2"/>
          <w:sz w:val="24"/>
          <w:lang w:val="en-GB"/>
        </w:rPr>
        <w:t xml:space="preserve"> 4:  </w:t>
      </w:r>
      <w:r>
        <w:rPr>
          <w:b/>
          <w:spacing w:val="-2"/>
          <w:sz w:val="24"/>
          <w:lang w:val="en-GB"/>
        </w:rPr>
        <w:t>90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rFonts w:hint="eastAsia"/>
          <w:spacing w:val="-2"/>
          <w:sz w:val="24"/>
          <w:lang w:val="en-GB" w:eastAsia="ja-JP"/>
        </w:rPr>
        <w:tab/>
        <w:t>(These are the lowest average costs for each plant.)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ab/>
        <w:t xml:space="preserve">b) </w:t>
      </w:r>
      <w:r>
        <w:rPr>
          <w:rFonts w:hint="eastAsia"/>
          <w:spacing w:val="-2"/>
          <w:sz w:val="24"/>
          <w:lang w:val="en-GB" w:eastAsia="ja-JP"/>
        </w:rPr>
        <w:t>Plant 4;</w:t>
      </w:r>
      <w:r>
        <w:rPr>
          <w:rFonts w:hint="eastAsia"/>
          <w:spacing w:val="-2"/>
          <w:sz w:val="24"/>
          <w:lang w:val="en-GB" w:eastAsia="ja-JP"/>
        </w:rPr>
        <w:tab/>
        <w:t>at an output of</w:t>
      </w:r>
      <w:r>
        <w:rPr>
          <w:rFonts w:hint="eastAsia"/>
          <w:spacing w:val="-2"/>
          <w:sz w:val="24"/>
          <w:lang w:val="en-GB" w:eastAsia="ja-JP"/>
        </w:rPr>
        <w:tab/>
      </w:r>
      <w:r>
        <w:rPr>
          <w:spacing w:val="-2"/>
          <w:sz w:val="24"/>
          <w:lang w:val="en-GB"/>
        </w:rPr>
        <w:t>90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 xml:space="preserve">c)  </w:t>
      </w:r>
      <w:r>
        <w:rPr>
          <w:rFonts w:hint="eastAsia"/>
          <w:spacing w:val="-2"/>
          <w:sz w:val="24"/>
          <w:lang w:val="en-GB" w:eastAsia="ja-JP"/>
        </w:rPr>
        <w:t>P</w:t>
      </w:r>
      <w:r>
        <w:rPr>
          <w:spacing w:val="-2"/>
          <w:sz w:val="24"/>
          <w:lang w:val="en-GB"/>
        </w:rPr>
        <w:t xml:space="preserve">lant </w:t>
      </w:r>
      <w:proofErr w:type="gramStart"/>
      <w:r>
        <w:rPr>
          <w:spacing w:val="-2"/>
          <w:sz w:val="24"/>
          <w:lang w:val="en-GB"/>
        </w:rPr>
        <w:t>2</w:t>
      </w:r>
      <w:r>
        <w:rPr>
          <w:rFonts w:hint="eastAsia"/>
          <w:spacing w:val="-2"/>
          <w:sz w:val="24"/>
          <w:lang w:val="en-GB" w:eastAsia="ja-JP"/>
        </w:rPr>
        <w:t xml:space="preserve">  (</w:t>
      </w:r>
      <w:proofErr w:type="gramEnd"/>
      <w:r>
        <w:rPr>
          <w:rFonts w:hint="eastAsia"/>
          <w:spacing w:val="-2"/>
          <w:sz w:val="24"/>
          <w:lang w:val="en-GB" w:eastAsia="ja-JP"/>
        </w:rPr>
        <w:t>This is the lowest average cost of all the plants for that output.)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 xml:space="preserve">d) </w:t>
      </w:r>
      <w:proofErr w:type="gramStart"/>
      <w:r>
        <w:rPr>
          <w:spacing w:val="-2"/>
          <w:sz w:val="24"/>
          <w:lang w:val="en-GB"/>
        </w:rPr>
        <w:t>plant</w:t>
      </w:r>
      <w:proofErr w:type="gramEnd"/>
      <w:r>
        <w:rPr>
          <w:spacing w:val="-2"/>
          <w:sz w:val="24"/>
          <w:lang w:val="en-GB"/>
        </w:rPr>
        <w:t xml:space="preserve"> 3</w:t>
      </w:r>
      <w:r>
        <w:rPr>
          <w:rFonts w:hint="eastAsia"/>
          <w:spacing w:val="-2"/>
          <w:sz w:val="24"/>
          <w:lang w:val="en-GB" w:eastAsia="ja-JP"/>
        </w:rPr>
        <w:tab/>
        <w:t>(This is the lowest average cost of all the plants for that output.)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b/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b/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b/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>39</w:t>
      </w:r>
      <w:r>
        <w:rPr>
          <w:rFonts w:hint="eastAsia"/>
          <w:b/>
          <w:bCs/>
          <w:spacing w:val="-2"/>
          <w:sz w:val="24"/>
          <w:lang w:val="en-GB" w:eastAsia="ja-JP"/>
        </w:rPr>
        <w:t>A</w:t>
      </w:r>
      <w:proofErr w:type="gramStart"/>
      <w:r>
        <w:rPr>
          <w:b/>
          <w:bCs/>
          <w:spacing w:val="-2"/>
          <w:sz w:val="24"/>
          <w:lang w:val="en-GB"/>
        </w:rPr>
        <w:t>.</w:t>
      </w:r>
      <w:r>
        <w:rPr>
          <w:spacing w:val="-2"/>
          <w:sz w:val="24"/>
          <w:lang w:val="en-GB"/>
        </w:rPr>
        <w:t xml:space="preserve">  a</w:t>
      </w:r>
      <w:proofErr w:type="gramEnd"/>
      <w:r>
        <w:rPr>
          <w:spacing w:val="-2"/>
          <w:sz w:val="24"/>
          <w:lang w:val="en-GB"/>
        </w:rPr>
        <w:t xml:space="preserve">)  all are </w:t>
      </w:r>
      <w:r>
        <w:rPr>
          <w:b/>
          <w:spacing w:val="-2"/>
          <w:sz w:val="24"/>
          <w:lang w:val="en-GB"/>
        </w:rPr>
        <w:t xml:space="preserve">economic capacity </w:t>
      </w:r>
      <w:r>
        <w:rPr>
          <w:spacing w:val="-2"/>
          <w:sz w:val="24"/>
          <w:lang w:val="en-GB"/>
        </w:rPr>
        <w:t>outputs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 xml:space="preserve">b) </w:t>
      </w:r>
      <w:proofErr w:type="gramStart"/>
      <w:r>
        <w:rPr>
          <w:spacing w:val="-2"/>
          <w:sz w:val="24"/>
          <w:lang w:val="en-GB"/>
        </w:rPr>
        <w:t>plant</w:t>
      </w:r>
      <w:proofErr w:type="gramEnd"/>
      <w:r>
        <w:rPr>
          <w:spacing w:val="-2"/>
          <w:sz w:val="24"/>
          <w:lang w:val="en-GB"/>
        </w:rPr>
        <w:t xml:space="preserve"> 3 </w:t>
      </w:r>
      <w:r>
        <w:rPr>
          <w:rFonts w:hint="eastAsia"/>
          <w:spacing w:val="-2"/>
          <w:sz w:val="24"/>
          <w:lang w:val="en-GB" w:eastAsia="ja-JP"/>
        </w:rPr>
        <w:t>(It is the lowest average cost for any of the plants.)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hint="eastAsia"/>
          <w:spacing w:val="-2"/>
          <w:sz w:val="24"/>
          <w:lang w:val="en-GB" w:eastAsia="ja-JP"/>
        </w:rPr>
      </w:pPr>
      <w:r>
        <w:rPr>
          <w:spacing w:val="-2"/>
          <w:sz w:val="24"/>
          <w:lang w:val="en-GB"/>
        </w:rPr>
        <w:tab/>
        <w:t xml:space="preserve">c) </w:t>
      </w:r>
      <w:proofErr w:type="gramStart"/>
      <w:r>
        <w:rPr>
          <w:spacing w:val="-2"/>
          <w:sz w:val="24"/>
          <w:lang w:val="en-GB"/>
        </w:rPr>
        <w:t>zero</w:t>
      </w:r>
      <w:proofErr w:type="gramEnd"/>
      <w:r>
        <w:rPr>
          <w:spacing w:val="-2"/>
          <w:sz w:val="24"/>
          <w:lang w:val="en-GB"/>
        </w:rPr>
        <w:t xml:space="preserve"> and 600</w:t>
      </w:r>
      <w:r>
        <w:rPr>
          <w:rFonts w:hint="eastAsia"/>
          <w:spacing w:val="-2"/>
          <w:sz w:val="24"/>
          <w:lang w:val="en-GB" w:eastAsia="ja-JP"/>
        </w:rPr>
        <w:t xml:space="preserve">  (The average costs </w:t>
      </w:r>
      <w:r>
        <w:rPr>
          <w:spacing w:val="-2"/>
          <w:sz w:val="24"/>
          <w:lang w:val="en-GB" w:eastAsia="ja-JP"/>
        </w:rPr>
        <w:t>–</w:t>
      </w:r>
      <w:r>
        <w:rPr>
          <w:rFonts w:hint="eastAsia"/>
          <w:spacing w:val="-2"/>
          <w:sz w:val="24"/>
          <w:lang w:val="en-GB" w:eastAsia="ja-JP"/>
        </w:rPr>
        <w:t xml:space="preserve"> at capacity output </w:t>
      </w:r>
      <w:r>
        <w:rPr>
          <w:spacing w:val="-2"/>
          <w:sz w:val="24"/>
          <w:lang w:val="en-GB" w:eastAsia="ja-JP"/>
        </w:rPr>
        <w:t>–</w:t>
      </w:r>
      <w:r>
        <w:rPr>
          <w:rFonts w:hint="eastAsia"/>
          <w:spacing w:val="-2"/>
          <w:sz w:val="24"/>
          <w:lang w:val="en-GB" w:eastAsia="ja-JP"/>
        </w:rPr>
        <w:t xml:space="preserve"> falls between these outputs.)</w:t>
      </w:r>
    </w:p>
    <w:p w:rsidR="008E3F27" w:rsidRDefault="008E3F27" w:rsidP="008E3F27">
      <w:pPr>
        <w:tabs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b/>
          <w:spacing w:val="-2"/>
          <w:sz w:val="24"/>
          <w:lang w:val="en-GB"/>
        </w:rPr>
      </w:pPr>
    </w:p>
    <w:p w:rsidR="000D2941" w:rsidRDefault="008E3F27"/>
    <w:sectPr w:rsidR="000D2941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8E3F27"/>
    <w:rsid w:val="000C4D25"/>
    <w:rsid w:val="001F2571"/>
    <w:rsid w:val="006B2430"/>
    <w:rsid w:val="008E3F27"/>
    <w:rsid w:val="00D66EFF"/>
    <w:rsid w:val="00EC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F27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B">
    <w:name w:val="PRB"/>
    <w:basedOn w:val="Normal"/>
    <w:rsid w:val="008E3F27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</w:rPr>
  </w:style>
  <w:style w:type="paragraph" w:customStyle="1" w:styleId="EXR">
    <w:name w:val="EXR"/>
    <w:basedOn w:val="Normal"/>
    <w:next w:val="PRB"/>
    <w:rsid w:val="008E3F27"/>
    <w:pPr>
      <w:keepLines/>
      <w:tabs>
        <w:tab w:val="left" w:pos="380"/>
      </w:tabs>
      <w:spacing w:after="120" w:line="240" w:lineRule="exact"/>
      <w:jc w:val="both"/>
    </w:pPr>
    <w:rPr>
      <w:rFonts w:ascii="NewCenturySchlbk" w:hAnsi="NewCenturySchlbk"/>
      <w:spacing w:val="5"/>
    </w:rPr>
  </w:style>
  <w:style w:type="paragraph" w:customStyle="1" w:styleId="ADD6">
    <w:name w:val="ADD6"/>
    <w:basedOn w:val="Normal"/>
    <w:rsid w:val="008E3F27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27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17241379310344837"/>
          <c:y val="8.0152671755725213E-2"/>
          <c:w val="0.76489028213166166"/>
          <c:h val="0.6984732824427482"/>
        </c:manualLayout>
      </c:layout>
      <c:scatterChart>
        <c:scatterStyle val="smoothMarker"/>
        <c:ser>
          <c:idx val="0"/>
          <c:order val="0"/>
          <c:spPr>
            <a:ln w="12707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Sheet1!$A$2:$O$2</c:f>
              <c:numCache>
                <c:formatCode>General</c:formatCode>
                <c:ptCount val="15"/>
                <c:pt idx="1">
                  <c:v>8</c:v>
                </c:pt>
                <c:pt idx="2">
                  <c:v>7</c:v>
                </c:pt>
                <c:pt idx="3">
                  <c:v>6</c:v>
                </c:pt>
                <c:pt idx="4">
                  <c:v>6.5</c:v>
                </c:pt>
                <c:pt idx="5">
                  <c:v>7.5</c:v>
                </c:pt>
                <c:pt idx="6">
                  <c:v>9</c:v>
                </c:pt>
                <c:pt idx="7">
                  <c:v>10.5</c:v>
                </c:pt>
              </c:numCache>
            </c:numRef>
          </c:yVal>
          <c:smooth val="1"/>
        </c:ser>
        <c:ser>
          <c:idx val="1"/>
          <c:order val="1"/>
          <c:spPr>
            <a:ln w="12707">
              <a:solidFill>
                <a:srgbClr val="FF00FF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Sheet1!$A$3:$O$3</c:f>
              <c:numCache>
                <c:formatCode>General</c:formatCode>
                <c:ptCount val="15"/>
                <c:pt idx="1">
                  <c:v>10.5</c:v>
                </c:pt>
                <c:pt idx="2">
                  <c:v>9</c:v>
                </c:pt>
                <c:pt idx="3">
                  <c:v>7.5</c:v>
                </c:pt>
                <c:pt idx="4">
                  <c:v>6</c:v>
                </c:pt>
                <c:pt idx="5">
                  <c:v>5</c:v>
                </c:pt>
                <c:pt idx="6">
                  <c:v>5.8</c:v>
                </c:pt>
                <c:pt idx="7">
                  <c:v>7</c:v>
                </c:pt>
                <c:pt idx="8">
                  <c:v>8.2000000000000011</c:v>
                </c:pt>
                <c:pt idx="9">
                  <c:v>10</c:v>
                </c:pt>
              </c:numCache>
            </c:numRef>
          </c:yVal>
          <c:smooth val="1"/>
        </c:ser>
        <c:ser>
          <c:idx val="2"/>
          <c:order val="2"/>
          <c:spPr>
            <a:ln w="25414">
              <a:solidFill>
                <a:srgbClr val="FFFF0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Sheet1!$A$4:$O$4</c:f>
              <c:numCache>
                <c:formatCode>General</c:formatCode>
                <c:ptCount val="15"/>
                <c:pt idx="3">
                  <c:v>10</c:v>
                </c:pt>
                <c:pt idx="4">
                  <c:v>8</c:v>
                </c:pt>
                <c:pt idx="5">
                  <c:v>6.5</c:v>
                </c:pt>
                <c:pt idx="6">
                  <c:v>4</c:v>
                </c:pt>
                <c:pt idx="7">
                  <c:v>4.9000000000000004</c:v>
                </c:pt>
                <c:pt idx="8">
                  <c:v>6</c:v>
                </c:pt>
                <c:pt idx="9">
                  <c:v>7.8</c:v>
                </c:pt>
                <c:pt idx="10">
                  <c:v>8.5</c:v>
                </c:pt>
              </c:numCache>
            </c:numRef>
          </c:yVal>
          <c:smooth val="1"/>
        </c:ser>
        <c:ser>
          <c:idx val="3"/>
          <c:order val="3"/>
          <c:spPr>
            <a:ln w="12707">
              <a:solidFill>
                <a:srgbClr val="FF000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Sheet1!$A$5:$O$5</c:f>
              <c:numCache>
                <c:formatCode>General</c:formatCode>
                <c:ptCount val="15"/>
                <c:pt idx="5">
                  <c:v>10.3</c:v>
                </c:pt>
                <c:pt idx="6">
                  <c:v>8.5</c:v>
                </c:pt>
                <c:pt idx="7">
                  <c:v>7</c:v>
                </c:pt>
                <c:pt idx="8">
                  <c:v>5.0999999999999996</c:v>
                </c:pt>
                <c:pt idx="9">
                  <c:v>4</c:v>
                </c:pt>
                <c:pt idx="10">
                  <c:v>4.3</c:v>
                </c:pt>
                <c:pt idx="11">
                  <c:v>5.6</c:v>
                </c:pt>
                <c:pt idx="12">
                  <c:v>7.7</c:v>
                </c:pt>
                <c:pt idx="13">
                  <c:v>10</c:v>
                </c:pt>
              </c:numCache>
            </c:numRef>
          </c:yVal>
          <c:smooth val="1"/>
        </c:ser>
        <c:ser>
          <c:idx val="4"/>
          <c:order val="4"/>
          <c:spPr>
            <a:ln w="25414">
              <a:solidFill>
                <a:srgbClr val="339966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Sheet1!$A$6:$O$6</c:f>
              <c:numCache>
                <c:formatCode>General</c:formatCode>
                <c:ptCount val="15"/>
                <c:pt idx="8">
                  <c:v>6.5</c:v>
                </c:pt>
                <c:pt idx="9">
                  <c:v>6</c:v>
                </c:pt>
                <c:pt idx="10">
                  <c:v>5.4</c:v>
                </c:pt>
                <c:pt idx="11">
                  <c:v>5</c:v>
                </c:pt>
                <c:pt idx="12">
                  <c:v>5.3</c:v>
                </c:pt>
                <c:pt idx="13">
                  <c:v>6</c:v>
                </c:pt>
                <c:pt idx="14">
                  <c:v>7.1</c:v>
                </c:pt>
              </c:numCache>
            </c:numRef>
          </c:yVal>
          <c:smooth val="1"/>
        </c:ser>
        <c:axId val="146493440"/>
        <c:axId val="146495360"/>
      </c:scatterChart>
      <c:valAx>
        <c:axId val="146493440"/>
        <c:scaling>
          <c:orientation val="minMax"/>
          <c:max val="140"/>
        </c:scaling>
        <c:axPos val="b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7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Quantity of Output</a:t>
                </a:r>
              </a:p>
            </c:rich>
          </c:tx>
          <c:layout>
            <c:manualLayout>
              <c:xMode val="edge"/>
              <c:yMode val="edge"/>
              <c:x val="0.39184952978056442"/>
              <c:y val="0.87786259541984735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maj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46495360"/>
        <c:crosses val="autoZero"/>
        <c:crossBetween val="midCat"/>
        <c:majorUnit val="20"/>
        <c:minorUnit val="10"/>
      </c:valAx>
      <c:valAx>
        <c:axId val="146495360"/>
        <c:scaling>
          <c:orientation val="minMax"/>
          <c:max val="10"/>
        </c:scaling>
        <c:axPos val="l"/>
        <c:minorGridlines>
          <c:spPr>
            <a:ln w="3177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Costs</a:t>
                </a:r>
              </a:p>
            </c:rich>
          </c:tx>
          <c:layout>
            <c:manualLayout>
              <c:xMode val="edge"/>
              <c:yMode val="edge"/>
              <c:x val="3.4482758620689669E-2"/>
              <c:y val="0.35496183206106868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maj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46493440"/>
        <c:crosses val="autoZero"/>
        <c:crossBetween val="midCat"/>
        <c:minorUnit val="1"/>
      </c:valAx>
      <c:spPr>
        <a:noFill/>
        <a:ln w="25414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0.8255</cdr:x>
      <cdr:y>0.429</cdr:y>
    </cdr:from>
    <cdr:to>
      <cdr:x>0.9445</cdr:x>
      <cdr:y>0.5015</cdr:y>
    </cdr:to>
    <cdr:sp macro="" textlink="">
      <cdr:nvSpPr>
        <cdr:cNvPr id="3073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8261" y="1070591"/>
          <a:ext cx="361579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LRAC</a:t>
          </a:r>
        </a:p>
      </cdr:txBody>
    </cdr:sp>
  </cdr:relSizeAnchor>
  <cdr:relSizeAnchor xmlns:cdr="http://schemas.openxmlformats.org/drawingml/2006/chartDrawing">
    <cdr:from>
      <cdr:x>0.68475</cdr:x>
      <cdr:y>0.32075</cdr:y>
    </cdr:from>
    <cdr:to>
      <cdr:x>0.925</cdr:x>
      <cdr:y>0.49525</cdr:y>
    </cdr:to>
    <cdr:sp macro="" textlink="">
      <cdr:nvSpPr>
        <cdr:cNvPr id="3074" name="Freeform 2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2080596" y="800448"/>
          <a:ext cx="729993" cy="435473"/>
        </a:xfrm>
        <a:custGeom xmlns:a="http://schemas.openxmlformats.org/drawingml/2006/main">
          <a:avLst/>
          <a:gdLst/>
          <a:ahLst/>
          <a:cxnLst>
            <a:cxn ang="0">
              <a:pos x="0" y="476250"/>
            </a:cxn>
            <a:cxn ang="0">
              <a:pos x="457200" y="238125"/>
            </a:cxn>
            <a:cxn ang="0">
              <a:pos x="781050" y="0"/>
            </a:cxn>
          </a:cxnLst>
          <a:rect l="0" t="0" r="r" b="b"/>
          <a:pathLst>
            <a:path w="781050" h="476250">
              <a:moveTo>
                <a:pt x="0" y="476250"/>
              </a:moveTo>
              <a:cubicBezTo>
                <a:pt x="163512" y="396875"/>
                <a:pt x="327025" y="317500"/>
                <a:pt x="457200" y="238125"/>
              </a:cubicBezTo>
              <a:cubicBezTo>
                <a:pt x="587375" y="158750"/>
                <a:pt x="684212" y="79375"/>
                <a:pt x="781050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val="000000"/>
          </a:solidFill>
          <a:prstDash val="solid"/>
          <a:round/>
          <a:headEnd type="none" w="med" len="med"/>
          <a:tailEnd type="none" w="med" len="med"/>
        </a:ln>
      </cdr:spPr>
    </cdr:sp>
  </cdr:relSizeAnchor>
  <cdr:relSizeAnchor xmlns:cdr="http://schemas.openxmlformats.org/drawingml/2006/chartDrawing">
    <cdr:from>
      <cdr:x>0.5005</cdr:x>
      <cdr:y>0.49525</cdr:y>
    </cdr:from>
    <cdr:to>
      <cdr:x>0.68475</cdr:x>
      <cdr:y>0.49525</cdr:y>
    </cdr:to>
    <cdr:sp macro="" textlink="">
      <cdr:nvSpPr>
        <cdr:cNvPr id="3075" name="Freeform 3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1520757" y="1235921"/>
          <a:ext cx="559839" cy="0"/>
        </a:xfrm>
        <a:custGeom xmlns:a="http://schemas.openxmlformats.org/drawingml/2006/main">
          <a:avLst/>
          <a:gdLst/>
          <a:ahLst/>
          <a:cxnLst>
            <a:cxn ang="0">
              <a:pos x="0" y="0"/>
            </a:cxn>
            <a:cxn ang="0">
              <a:pos x="600075" y="0"/>
            </a:cxn>
          </a:cxnLst>
          <a:rect l="0" t="0" r="r" b="b"/>
          <a:pathLst>
            <a:path w="600075" h="1">
              <a:moveTo>
                <a:pt x="0" y="0"/>
              </a:moveTo>
              <a:cubicBezTo>
                <a:pt x="250031" y="0"/>
                <a:pt x="500063" y="0"/>
                <a:pt x="600075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val="000000"/>
          </a:solidFill>
          <a:prstDash val="solid"/>
          <a:round/>
          <a:headEnd type="none" w="med" len="med"/>
          <a:tailEnd type="none" w="med" len="med"/>
        </a:ln>
      </cdr:spPr>
    </cdr:sp>
  </cdr:relSizeAnchor>
  <cdr:relSizeAnchor xmlns:cdr="http://schemas.openxmlformats.org/drawingml/2006/chartDrawing">
    <cdr:from>
      <cdr:x>0.25725</cdr:x>
      <cdr:y>0.26125</cdr:y>
    </cdr:from>
    <cdr:to>
      <cdr:x>0.5005</cdr:x>
      <cdr:y>0.49525</cdr:y>
    </cdr:to>
    <cdr:sp macro="" textlink="">
      <cdr:nvSpPr>
        <cdr:cNvPr id="3076" name="Freeform 4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781648" y="651962"/>
          <a:ext cx="739109" cy="583959"/>
        </a:xfrm>
        <a:custGeom xmlns:a="http://schemas.openxmlformats.org/drawingml/2006/main">
          <a:avLst/>
          <a:gdLst/>
          <a:ahLst/>
          <a:cxnLst>
            <a:cxn ang="0">
              <a:pos x="790575" y="638175"/>
            </a:cxn>
            <a:cxn ang="0">
              <a:pos x="400050" y="457200"/>
            </a:cxn>
            <a:cxn ang="0">
              <a:pos x="0" y="0"/>
            </a:cxn>
          </a:cxnLst>
          <a:rect l="0" t="0" r="r" b="b"/>
          <a:pathLst>
            <a:path w="790575" h="638175">
              <a:moveTo>
                <a:pt x="790575" y="638175"/>
              </a:moveTo>
              <a:cubicBezTo>
                <a:pt x="661193" y="600869"/>
                <a:pt x="531812" y="563563"/>
                <a:pt x="400050" y="457200"/>
              </a:cubicBezTo>
              <a:cubicBezTo>
                <a:pt x="268288" y="350837"/>
                <a:pt x="66675" y="76200"/>
                <a:pt x="0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val="000000"/>
          </a:solidFill>
          <a:prstDash val="solid"/>
          <a:round/>
          <a:headEnd type="none" w="med" len="med"/>
          <a:tailEnd type="none" w="med" len="med"/>
        </a:ln>
      </cdr:spPr>
    </cdr:sp>
  </cdr:relSizeAnchor>
  <cdr:relSizeAnchor xmlns:cdr="http://schemas.openxmlformats.org/drawingml/2006/chartDrawing">
    <cdr:from>
      <cdr:x>0.55325</cdr:x>
      <cdr:y>0.07975</cdr:y>
    </cdr:from>
    <cdr:to>
      <cdr:x>0.59725</cdr:x>
      <cdr:y>0.15225</cdr:y>
    </cdr:to>
    <cdr:sp macro="" textlink="">
      <cdr:nvSpPr>
        <cdr:cNvPr id="3077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81036" y="199020"/>
          <a:ext cx="133693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1</a:t>
          </a:r>
        </a:p>
      </cdr:txBody>
    </cdr:sp>
  </cdr:relSizeAnchor>
  <cdr:relSizeAnchor xmlns:cdr="http://schemas.openxmlformats.org/drawingml/2006/chartDrawing">
    <cdr:from>
      <cdr:x>0.68475</cdr:x>
      <cdr:y>0.07975</cdr:y>
    </cdr:from>
    <cdr:to>
      <cdr:x>0.72875</cdr:x>
      <cdr:y>0.15225</cdr:y>
    </cdr:to>
    <cdr:sp macro="" textlink="">
      <cdr:nvSpPr>
        <cdr:cNvPr id="3078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80596" y="199020"/>
          <a:ext cx="133693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2</a:t>
          </a:r>
        </a:p>
      </cdr:txBody>
    </cdr:sp>
  </cdr:relSizeAnchor>
  <cdr:relSizeAnchor xmlns:cdr="http://schemas.openxmlformats.org/drawingml/2006/chartDrawing">
    <cdr:from>
      <cdr:x>0.75</cdr:x>
      <cdr:y>0.146</cdr:y>
    </cdr:from>
    <cdr:to>
      <cdr:x>0.794</cdr:x>
      <cdr:y>0.2185</cdr:y>
    </cdr:to>
    <cdr:sp macro="" textlink="">
      <cdr:nvSpPr>
        <cdr:cNvPr id="3079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78856" y="364350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3</a:t>
          </a:r>
        </a:p>
      </cdr:txBody>
    </cdr:sp>
  </cdr:relSizeAnchor>
  <cdr:relSizeAnchor xmlns:cdr="http://schemas.openxmlformats.org/drawingml/2006/chartDrawing">
    <cdr:from>
      <cdr:x>0.896</cdr:x>
      <cdr:y>0.09725</cdr:y>
    </cdr:from>
    <cdr:to>
      <cdr:x>0.94</cdr:x>
      <cdr:y>0.16975</cdr:y>
    </cdr:to>
    <cdr:sp macro="" textlink="">
      <cdr:nvSpPr>
        <cdr:cNvPr id="3080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2474" y="242692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4</a:t>
          </a:r>
        </a:p>
      </cdr:txBody>
    </cdr:sp>
  </cdr:relSizeAnchor>
  <cdr:relSizeAnchor xmlns:cdr="http://schemas.openxmlformats.org/drawingml/2006/chartDrawing">
    <cdr:from>
      <cdr:x>0.896</cdr:x>
      <cdr:y>0.244</cdr:y>
    </cdr:from>
    <cdr:to>
      <cdr:x>0.94</cdr:x>
      <cdr:y>0.3165</cdr:y>
    </cdr:to>
    <cdr:sp macro="" textlink="">
      <cdr:nvSpPr>
        <cdr:cNvPr id="3081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2474" y="608914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US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Company>College of the North Atlantic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paul.tilley</dc:creator>
  <cp:keywords/>
  <dc:description/>
  <cp:lastModifiedBy>paul.tilley</cp:lastModifiedBy>
  <cp:revision>1</cp:revision>
  <dcterms:created xsi:type="dcterms:W3CDTF">2010-11-04T18:36:00Z</dcterms:created>
  <dcterms:modified xsi:type="dcterms:W3CDTF">2010-11-04T18:39:00Z</dcterms:modified>
</cp:coreProperties>
</file>