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9F0" w:rsidRPr="008F01FF" w:rsidRDefault="004459F0">
      <w:pPr>
        <w:pStyle w:val="Title"/>
        <w:rPr>
          <w:rFonts w:asciiTheme="minorHAnsi" w:hAnsiTheme="minorHAnsi"/>
          <w:sz w:val="44"/>
        </w:rPr>
      </w:pPr>
      <w:r w:rsidRPr="008F01FF">
        <w:rPr>
          <w:rFonts w:asciiTheme="minorHAnsi" w:hAnsiTheme="minorHAnsi"/>
          <w:noProof/>
          <w:lang w:val="en-CA" w:eastAsia="en-CA"/>
        </w:rPr>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857250" cy="75819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arenville campu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250" cy="758190"/>
                    </a:xfrm>
                    <a:prstGeom prst="rect">
                      <a:avLst/>
                    </a:prstGeom>
                  </pic:spPr>
                </pic:pic>
              </a:graphicData>
            </a:graphic>
            <wp14:sizeRelH relativeFrom="page">
              <wp14:pctWidth>0</wp14:pctWidth>
            </wp14:sizeRelH>
            <wp14:sizeRelV relativeFrom="page">
              <wp14:pctHeight>0</wp14:pctHeight>
            </wp14:sizeRelV>
          </wp:anchor>
        </w:drawing>
      </w:r>
      <w:r w:rsidR="00791C98" w:rsidRPr="008F01FF">
        <w:rPr>
          <w:rFonts w:asciiTheme="minorHAnsi" w:hAnsiTheme="minorHAnsi"/>
        </w:rPr>
        <w:t>FN1140</w:t>
      </w:r>
      <w:r w:rsidR="00610BA6" w:rsidRPr="008F01FF">
        <w:rPr>
          <w:rFonts w:asciiTheme="minorHAnsi" w:hAnsiTheme="minorHAnsi"/>
        </w:rPr>
        <w:t xml:space="preserve"> </w:t>
      </w:r>
      <w:r w:rsidR="005C7AD5" w:rsidRPr="008F01FF">
        <w:rPr>
          <w:rFonts w:asciiTheme="minorHAnsi" w:hAnsiTheme="minorHAnsi"/>
        </w:rPr>
        <w:t>–</w:t>
      </w:r>
      <w:r w:rsidR="00610BA6" w:rsidRPr="008F01FF">
        <w:rPr>
          <w:rFonts w:asciiTheme="minorHAnsi" w:hAnsiTheme="minorHAnsi"/>
        </w:rPr>
        <w:t xml:space="preserve"> </w:t>
      </w:r>
      <w:r w:rsidR="005C7AD5" w:rsidRPr="008F01FF">
        <w:rPr>
          <w:rFonts w:asciiTheme="minorHAnsi" w:hAnsiTheme="minorHAnsi"/>
        </w:rPr>
        <w:t>Introduction to F</w:t>
      </w:r>
      <w:r w:rsidR="00791C98" w:rsidRPr="008F01FF">
        <w:rPr>
          <w:rFonts w:asciiTheme="minorHAnsi" w:hAnsiTheme="minorHAnsi"/>
        </w:rPr>
        <w:t>inance</w:t>
      </w:r>
    </w:p>
    <w:p w:rsidR="00240CF8" w:rsidRPr="008F01FF" w:rsidRDefault="0013443E">
      <w:pPr>
        <w:pStyle w:val="Title"/>
        <w:pBdr>
          <w:bottom w:val="single" w:sz="12" w:space="1" w:color="auto"/>
        </w:pBdr>
        <w:rPr>
          <w:rFonts w:asciiTheme="minorHAnsi" w:hAnsiTheme="minorHAnsi"/>
          <w:sz w:val="28"/>
        </w:rPr>
      </w:pPr>
      <w:r w:rsidRPr="008F01FF">
        <w:rPr>
          <w:rFonts w:asciiTheme="minorHAnsi" w:hAnsiTheme="minorHAnsi"/>
          <w:sz w:val="28"/>
        </w:rPr>
        <w:t>Fall 2015</w:t>
      </w:r>
    </w:p>
    <w:p w:rsidR="00240CF8" w:rsidRPr="008F01FF" w:rsidRDefault="004459F0">
      <w:pPr>
        <w:pStyle w:val="Heading1"/>
        <w:rPr>
          <w:rFonts w:asciiTheme="minorHAnsi" w:hAnsiTheme="minorHAnsi"/>
        </w:rPr>
      </w:pPr>
      <w:r w:rsidRPr="008F01FF">
        <w:rPr>
          <w:rFonts w:asciiTheme="minorHAnsi" w:hAnsiTheme="minorHAnsi"/>
        </w:rPr>
        <w:t xml:space="preserve">The </w:t>
      </w:r>
      <w:r w:rsidR="00791C98" w:rsidRPr="008F01FF">
        <w:rPr>
          <w:rFonts w:asciiTheme="minorHAnsi" w:hAnsiTheme="minorHAnsi"/>
        </w:rPr>
        <w:t xml:space="preserve">Finance </w:t>
      </w:r>
      <w:r w:rsidRPr="008F01FF">
        <w:rPr>
          <w:rFonts w:asciiTheme="minorHAnsi" w:hAnsiTheme="minorHAnsi"/>
        </w:rPr>
        <w:t>Course</w:t>
      </w:r>
    </w:p>
    <w:p w:rsidR="005C7AD5" w:rsidRPr="008F01FF" w:rsidRDefault="005C7AD5" w:rsidP="005C7AD5">
      <w:pPr>
        <w:pStyle w:val="Default"/>
        <w:rPr>
          <w:rFonts w:asciiTheme="minorHAnsi" w:hAnsiTheme="minorHAnsi"/>
          <w:sz w:val="23"/>
          <w:szCs w:val="23"/>
        </w:rPr>
      </w:pPr>
      <w:r w:rsidRPr="008F01FF">
        <w:rPr>
          <w:rFonts w:asciiTheme="minorHAnsi" w:hAnsiTheme="minorHAnsi"/>
          <w:sz w:val="23"/>
          <w:szCs w:val="23"/>
        </w:rPr>
        <w:t xml:space="preserve">This course develops the concepts for the financial foundation of all upper level finance courses. In this course you will have the opportunity to explore the importance of finance in business. Topics merchandising, interest calculations, debt amortization, annuities, bonds and sinking funds, foreign currency computations, and capital budgeting. Students will use a financial calculator or spreadsheet to make financial management decisions. </w:t>
      </w:r>
    </w:p>
    <w:p w:rsidR="005C7AD5" w:rsidRPr="008F01FF" w:rsidRDefault="005C7AD5" w:rsidP="005C7AD5"/>
    <w:p w:rsidR="004459F0" w:rsidRPr="008F01FF" w:rsidRDefault="004459F0" w:rsidP="004459F0">
      <w:pPr>
        <w:pStyle w:val="Heading1"/>
        <w:rPr>
          <w:rFonts w:asciiTheme="minorHAnsi" w:hAnsiTheme="minorHAnsi"/>
        </w:rPr>
      </w:pPr>
      <w:r w:rsidRPr="008F01FF">
        <w:rPr>
          <w:rFonts w:asciiTheme="minorHAnsi" w:hAnsiTheme="minorHAnsi"/>
        </w:rPr>
        <w:t>Your Instructor</w:t>
      </w:r>
    </w:p>
    <w:p w:rsidR="004459F0" w:rsidRPr="008F01FF" w:rsidRDefault="004459F0" w:rsidP="004459F0">
      <w:pPr>
        <w:spacing w:after="0"/>
      </w:pPr>
      <w:r w:rsidRPr="008F01FF">
        <w:t xml:space="preserve">Paul Tilley </w:t>
      </w:r>
    </w:p>
    <w:p w:rsidR="004459F0" w:rsidRPr="008F01FF" w:rsidRDefault="0013443E" w:rsidP="004459F0">
      <w:pPr>
        <w:spacing w:after="0"/>
      </w:pPr>
      <w:r w:rsidRPr="008F01FF">
        <w:t>Room 219</w:t>
      </w:r>
    </w:p>
    <w:p w:rsidR="004459F0" w:rsidRPr="008F01FF" w:rsidRDefault="005F5A74" w:rsidP="004459F0">
      <w:pPr>
        <w:spacing w:after="0"/>
      </w:pPr>
      <w:r w:rsidRPr="008F01FF">
        <w:t>709.</w:t>
      </w:r>
      <w:r w:rsidR="0013443E" w:rsidRPr="008F01FF">
        <w:t>466.6915</w:t>
      </w:r>
      <w:r w:rsidRPr="008F01FF">
        <w:t xml:space="preserve"> (with Voicemail)   </w:t>
      </w:r>
    </w:p>
    <w:p w:rsidR="004459F0" w:rsidRPr="008F01FF" w:rsidRDefault="004459F0" w:rsidP="004459F0">
      <w:pPr>
        <w:spacing w:after="0"/>
      </w:pPr>
      <w:r w:rsidRPr="008F01FF">
        <w:t xml:space="preserve">Twitter: @pauldtilley </w:t>
      </w:r>
    </w:p>
    <w:p w:rsidR="005F5A74" w:rsidRPr="008F01FF" w:rsidRDefault="005F5A74" w:rsidP="004459F0">
      <w:pPr>
        <w:spacing w:after="0"/>
      </w:pPr>
      <w:r w:rsidRPr="008F01FF">
        <w:t>Linkedin: Linkedin.com/in/pauldtilley</w:t>
      </w:r>
    </w:p>
    <w:p w:rsidR="004459F0" w:rsidRPr="008F01FF" w:rsidRDefault="004459F0" w:rsidP="004459F0">
      <w:pPr>
        <w:spacing w:after="0"/>
      </w:pPr>
      <w:r w:rsidRPr="008F01FF">
        <w:t>paul.tilley@cna.nl.ca</w:t>
      </w:r>
    </w:p>
    <w:p w:rsidR="004459F0" w:rsidRPr="008F01FF" w:rsidRDefault="004459F0" w:rsidP="004459F0">
      <w:pPr>
        <w:pStyle w:val="Heading1"/>
        <w:rPr>
          <w:rFonts w:asciiTheme="minorHAnsi" w:hAnsiTheme="minorHAnsi"/>
        </w:rPr>
      </w:pPr>
      <w:r w:rsidRPr="008F01FF">
        <w:rPr>
          <w:rFonts w:asciiTheme="minorHAnsi" w:hAnsiTheme="minorHAnsi"/>
        </w:rPr>
        <w:t>When and Where We Meet</w:t>
      </w:r>
    </w:p>
    <w:p w:rsidR="00B952B3" w:rsidRPr="008F01FF" w:rsidRDefault="00B952B3" w:rsidP="00B952B3">
      <w:r w:rsidRPr="008F01FF">
        <w:t xml:space="preserve">This </w:t>
      </w:r>
      <w:r w:rsidR="005C7AD5" w:rsidRPr="008F01FF">
        <w:t xml:space="preserve">Finance </w:t>
      </w:r>
      <w:r w:rsidRPr="008F01FF">
        <w:t xml:space="preserve">class meets 4 time a week in room </w:t>
      </w:r>
      <w:r w:rsidR="005C7AD5" w:rsidRPr="008F01FF">
        <w:t>201</w:t>
      </w:r>
      <w:r w:rsidRPr="008F01FF">
        <w:t>.  Your role in contribution to the class’ dialogue is vital and you need to be there to contribute.   Each week there will be a new topic and I will also be handing out a detail of what we will be discussing, as well as resources for that topic.</w:t>
      </w:r>
    </w:p>
    <w:p w:rsidR="004459F0" w:rsidRPr="008F01FF" w:rsidRDefault="004459F0" w:rsidP="004459F0">
      <w:pPr>
        <w:pStyle w:val="Heading1"/>
        <w:rPr>
          <w:rFonts w:asciiTheme="minorHAnsi" w:hAnsiTheme="minorHAnsi"/>
        </w:rPr>
      </w:pPr>
      <w:r w:rsidRPr="008F01FF">
        <w:rPr>
          <w:rFonts w:asciiTheme="minorHAnsi" w:hAnsiTheme="minorHAnsi"/>
        </w:rPr>
        <w:t>Topics We’ll Be Covering</w:t>
      </w:r>
      <w:r w:rsidR="002079C4" w:rsidRPr="008F01FF">
        <w:rPr>
          <w:rFonts w:asciiTheme="minorHAnsi" w:hAnsiTheme="minorHAnsi"/>
        </w:rPr>
        <w:t xml:space="preserve"> in </w:t>
      </w:r>
      <w:r w:rsidR="00791C98" w:rsidRPr="008F01FF">
        <w:rPr>
          <w:rFonts w:asciiTheme="minorHAnsi" w:hAnsiTheme="minorHAnsi"/>
        </w:rPr>
        <w:t>Finance</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1. Apply merchandising concepts </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2. Apply the concept of the time value of money </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3. Apply annuity concepts to debt financing and investments </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4. Create and use amortization tables for various debt instruments </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5. Perform basic calculations for bonds and sinking funds </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6. Apply basic capital budgeting computations </w:t>
      </w:r>
    </w:p>
    <w:p w:rsidR="005C7AD5" w:rsidRPr="008F01FF" w:rsidRDefault="005C7AD5" w:rsidP="005C7AD5">
      <w:pPr>
        <w:pStyle w:val="Default"/>
        <w:ind w:left="720" w:hanging="720"/>
        <w:rPr>
          <w:rFonts w:asciiTheme="minorHAnsi" w:hAnsiTheme="minorHAnsi"/>
          <w:color w:val="auto"/>
          <w:sz w:val="18"/>
          <w:szCs w:val="23"/>
        </w:rPr>
      </w:pPr>
      <w:r w:rsidRPr="008F01FF">
        <w:rPr>
          <w:rFonts w:asciiTheme="minorHAnsi" w:hAnsiTheme="minorHAnsi"/>
          <w:color w:val="auto"/>
          <w:sz w:val="18"/>
          <w:szCs w:val="23"/>
        </w:rPr>
        <w:t xml:space="preserve">7. Evaluate business investment opportunities </w:t>
      </w:r>
    </w:p>
    <w:p w:rsidR="00161BD0" w:rsidRPr="008F01FF" w:rsidRDefault="00161BD0" w:rsidP="00161BD0">
      <w:pPr>
        <w:pStyle w:val="ListParagraph"/>
        <w:ind w:left="1080"/>
      </w:pPr>
    </w:p>
    <w:p w:rsidR="004459F0" w:rsidRPr="008F01FF" w:rsidRDefault="004459F0" w:rsidP="004459F0">
      <w:pPr>
        <w:pStyle w:val="Heading1"/>
        <w:rPr>
          <w:rFonts w:asciiTheme="minorHAnsi" w:hAnsiTheme="minorHAnsi"/>
        </w:rPr>
      </w:pPr>
      <w:r w:rsidRPr="008F01FF">
        <w:rPr>
          <w:rFonts w:asciiTheme="minorHAnsi" w:hAnsiTheme="minorHAnsi"/>
        </w:rPr>
        <w:lastRenderedPageBreak/>
        <w:t>Resources You Will Be Using</w:t>
      </w:r>
      <w:r w:rsidR="002079C4" w:rsidRPr="008F01FF">
        <w:rPr>
          <w:rFonts w:asciiTheme="minorHAnsi" w:hAnsiTheme="minorHAnsi"/>
        </w:rPr>
        <w:t xml:space="preserve"> in </w:t>
      </w:r>
      <w:r w:rsidR="00B952B3" w:rsidRPr="008F01FF">
        <w:rPr>
          <w:rFonts w:asciiTheme="minorHAnsi" w:hAnsiTheme="minorHAnsi"/>
        </w:rPr>
        <w:t>Microeconomics</w:t>
      </w:r>
    </w:p>
    <w:p w:rsidR="005C7AD5" w:rsidRPr="008F01FF" w:rsidRDefault="00B952B3" w:rsidP="005C7AD5">
      <w:pPr>
        <w:pStyle w:val="Default"/>
        <w:ind w:left="720" w:hanging="720"/>
        <w:rPr>
          <w:rFonts w:asciiTheme="minorHAnsi" w:hAnsiTheme="minorHAnsi"/>
          <w:sz w:val="23"/>
          <w:szCs w:val="23"/>
        </w:rPr>
      </w:pPr>
      <w:r w:rsidRPr="008F01FF">
        <w:rPr>
          <w:rFonts w:asciiTheme="minorHAnsi" w:hAnsiTheme="minorHAnsi"/>
        </w:rPr>
        <w:t xml:space="preserve">Text: </w:t>
      </w:r>
      <w:r w:rsidR="005C7AD5" w:rsidRPr="008F01FF">
        <w:rPr>
          <w:rFonts w:asciiTheme="minorHAnsi" w:hAnsiTheme="minorHAnsi"/>
          <w:sz w:val="23"/>
          <w:szCs w:val="23"/>
        </w:rPr>
        <w:t xml:space="preserve">Hummelbrunner, S.A., Coombs, S., &amp; Olivier, J-P. (2008). </w:t>
      </w:r>
      <w:r w:rsidR="005C7AD5" w:rsidRPr="008F01FF">
        <w:rPr>
          <w:rFonts w:asciiTheme="minorHAnsi" w:hAnsiTheme="minorHAnsi"/>
          <w:i/>
          <w:iCs/>
          <w:sz w:val="23"/>
          <w:szCs w:val="23"/>
        </w:rPr>
        <w:t xml:space="preserve">Contemporary business mathematics (with Canadian applications) </w:t>
      </w:r>
      <w:r w:rsidR="005C7AD5" w:rsidRPr="008F01FF">
        <w:rPr>
          <w:rFonts w:asciiTheme="minorHAnsi" w:hAnsiTheme="minorHAnsi"/>
          <w:sz w:val="23"/>
          <w:szCs w:val="23"/>
        </w:rPr>
        <w:t>(8</w:t>
      </w:r>
      <w:r w:rsidR="005C7AD5" w:rsidRPr="008F01FF">
        <w:rPr>
          <w:rFonts w:asciiTheme="minorHAnsi" w:hAnsiTheme="minorHAnsi"/>
          <w:position w:val="8"/>
          <w:sz w:val="16"/>
          <w:szCs w:val="16"/>
          <w:vertAlign w:val="superscript"/>
        </w:rPr>
        <w:t xml:space="preserve">th </w:t>
      </w:r>
      <w:r w:rsidR="005C7AD5" w:rsidRPr="008F01FF">
        <w:rPr>
          <w:rFonts w:asciiTheme="minorHAnsi" w:hAnsiTheme="minorHAnsi"/>
          <w:sz w:val="23"/>
          <w:szCs w:val="23"/>
        </w:rPr>
        <w:t xml:space="preserve">ed.). Toronto: Pearson Education Canada. ISBN-10: 0137141491; ISBN-13: 9780137141494 </w:t>
      </w:r>
    </w:p>
    <w:p w:rsidR="00161BD0" w:rsidRPr="008F01FF" w:rsidRDefault="00161BD0" w:rsidP="000B447A">
      <w:pPr>
        <w:pStyle w:val="ListParagraph"/>
        <w:numPr>
          <w:ilvl w:val="0"/>
          <w:numId w:val="4"/>
        </w:numPr>
        <w:spacing w:after="0" w:line="240" w:lineRule="auto"/>
      </w:pPr>
    </w:p>
    <w:p w:rsidR="00E82FA0" w:rsidRPr="008F01FF" w:rsidRDefault="002079C4" w:rsidP="00161BD0">
      <w:pPr>
        <w:pStyle w:val="ListParagraph"/>
        <w:numPr>
          <w:ilvl w:val="0"/>
          <w:numId w:val="4"/>
        </w:numPr>
        <w:spacing w:after="0" w:line="240" w:lineRule="auto"/>
      </w:pPr>
      <w:r w:rsidRPr="008F01FF">
        <w:t>Course website:</w:t>
      </w:r>
      <w:r w:rsidR="00E82FA0" w:rsidRPr="008F01FF">
        <w:t xml:space="preserve">  </w:t>
      </w:r>
      <w:r w:rsidR="00161BD0" w:rsidRPr="008F01FF">
        <w:t>http://paultilley.wikispaces.com/</w:t>
      </w:r>
    </w:p>
    <w:p w:rsidR="00E82FA0" w:rsidRPr="008F01FF" w:rsidRDefault="00E82FA0" w:rsidP="00E82FA0">
      <w:pPr>
        <w:pStyle w:val="ListParagraph"/>
      </w:pPr>
    </w:p>
    <w:p w:rsidR="005F5A74" w:rsidRPr="008F01FF" w:rsidRDefault="005F5A74" w:rsidP="001803B6">
      <w:pPr>
        <w:pStyle w:val="ListParagraph"/>
        <w:spacing w:line="240" w:lineRule="auto"/>
      </w:pPr>
    </w:p>
    <w:p w:rsidR="004459F0" w:rsidRPr="008F01FF" w:rsidRDefault="004459F0" w:rsidP="004459F0">
      <w:pPr>
        <w:pStyle w:val="Heading1"/>
        <w:rPr>
          <w:rFonts w:asciiTheme="minorHAnsi" w:hAnsiTheme="minorHAnsi"/>
        </w:rPr>
      </w:pPr>
      <w:r w:rsidRPr="008F01FF">
        <w:rPr>
          <w:rFonts w:asciiTheme="minorHAnsi" w:hAnsiTheme="minorHAnsi"/>
        </w:rPr>
        <w:t>How You Will Be Evaluated</w:t>
      </w:r>
      <w:r w:rsidR="002079C4" w:rsidRPr="008F01FF">
        <w:rPr>
          <w:rFonts w:asciiTheme="minorHAnsi" w:hAnsiTheme="minorHAnsi"/>
        </w:rPr>
        <w:t xml:space="preserve"> in </w:t>
      </w:r>
      <w:r w:rsidR="005C7AD5" w:rsidRPr="008F01FF">
        <w:rPr>
          <w:rFonts w:asciiTheme="minorHAnsi" w:hAnsiTheme="minorHAnsi"/>
        </w:rPr>
        <w:t>Introduction to Finance</w:t>
      </w:r>
    </w:p>
    <w:p w:rsidR="005F5A74" w:rsidRPr="008F01FF" w:rsidRDefault="005F5A74" w:rsidP="005F5A74"/>
    <w:tbl>
      <w:tblPr>
        <w:tblStyle w:val="TableGrid"/>
        <w:tblW w:w="9715" w:type="dxa"/>
        <w:tblLook w:val="04A0" w:firstRow="1" w:lastRow="0" w:firstColumn="1" w:lastColumn="0" w:noHBand="0" w:noVBand="1"/>
      </w:tblPr>
      <w:tblGrid>
        <w:gridCol w:w="2405"/>
        <w:gridCol w:w="788"/>
        <w:gridCol w:w="1019"/>
        <w:gridCol w:w="5503"/>
      </w:tblGrid>
      <w:tr w:rsidR="001803B6" w:rsidRPr="008F01FF" w:rsidTr="00F733B2">
        <w:tc>
          <w:tcPr>
            <w:tcW w:w="2405" w:type="dxa"/>
          </w:tcPr>
          <w:p w:rsidR="008E1B61" w:rsidRPr="008F01FF" w:rsidRDefault="008E1B61" w:rsidP="008E1B61">
            <w:pPr>
              <w:rPr>
                <w:b/>
                <w:lang w:eastAsia="en-US"/>
              </w:rPr>
            </w:pPr>
            <w:r w:rsidRPr="008F01FF">
              <w:rPr>
                <w:b/>
                <w:lang w:eastAsia="en-US"/>
              </w:rPr>
              <w:t>Evaluation Item</w:t>
            </w:r>
          </w:p>
        </w:tc>
        <w:tc>
          <w:tcPr>
            <w:tcW w:w="788" w:type="dxa"/>
          </w:tcPr>
          <w:p w:rsidR="008E1B61" w:rsidRPr="008F01FF" w:rsidRDefault="008E1B61" w:rsidP="008E1B61">
            <w:pPr>
              <w:rPr>
                <w:b/>
              </w:rPr>
            </w:pPr>
            <w:r w:rsidRPr="008F01FF">
              <w:rPr>
                <w:b/>
              </w:rPr>
              <w:t>Weight</w:t>
            </w:r>
          </w:p>
        </w:tc>
        <w:tc>
          <w:tcPr>
            <w:tcW w:w="1019" w:type="dxa"/>
          </w:tcPr>
          <w:p w:rsidR="008E1B61" w:rsidRPr="008F01FF" w:rsidRDefault="008E1B61" w:rsidP="008E1B61">
            <w:pPr>
              <w:rPr>
                <w:b/>
              </w:rPr>
            </w:pPr>
            <w:r w:rsidRPr="008F01FF">
              <w:rPr>
                <w:b/>
              </w:rPr>
              <w:t>Grade Achieved</w:t>
            </w:r>
          </w:p>
        </w:tc>
        <w:tc>
          <w:tcPr>
            <w:tcW w:w="5503" w:type="dxa"/>
          </w:tcPr>
          <w:p w:rsidR="008E1B61" w:rsidRPr="008F01FF" w:rsidRDefault="008E1B61" w:rsidP="001803B6">
            <w:pPr>
              <w:rPr>
                <w:b/>
              </w:rPr>
            </w:pPr>
            <w:r w:rsidRPr="008F01FF">
              <w:rPr>
                <w:b/>
              </w:rPr>
              <w:t>Detail</w:t>
            </w:r>
            <w:r w:rsidR="001803B6" w:rsidRPr="008F01FF">
              <w:rPr>
                <w:b/>
              </w:rPr>
              <w:t xml:space="preserve"> (Complete details of each project/test will be discussed/distributed in class)</w:t>
            </w:r>
          </w:p>
        </w:tc>
      </w:tr>
      <w:tr w:rsidR="001803B6" w:rsidRPr="008F01FF" w:rsidTr="00F733B2">
        <w:tc>
          <w:tcPr>
            <w:tcW w:w="2405" w:type="dxa"/>
          </w:tcPr>
          <w:p w:rsidR="001803B6" w:rsidRPr="008F01FF" w:rsidRDefault="00161BD0" w:rsidP="009B322C">
            <w:r w:rsidRPr="008F01FF">
              <w:t>Hand In Assignment 1</w:t>
            </w:r>
          </w:p>
          <w:p w:rsidR="00B85727" w:rsidRPr="008F01FF" w:rsidRDefault="00B85727" w:rsidP="002D78EE">
            <w:r w:rsidRPr="008F01FF">
              <w:t>Assignment 1 Due on Friday</w:t>
            </w:r>
            <w:r w:rsidR="0013443E" w:rsidRPr="008F01FF">
              <w:t xml:space="preserve">, </w:t>
            </w:r>
            <w:r w:rsidR="002D78EE" w:rsidRPr="008F01FF">
              <w:t>October 2</w:t>
            </w:r>
            <w:r w:rsidRPr="008F01FF">
              <w:t>.</w:t>
            </w:r>
          </w:p>
        </w:tc>
        <w:tc>
          <w:tcPr>
            <w:tcW w:w="788" w:type="dxa"/>
          </w:tcPr>
          <w:p w:rsidR="008E1B61" w:rsidRPr="008F01FF" w:rsidRDefault="00161BD0" w:rsidP="008E1B61">
            <w:r w:rsidRPr="008F01FF">
              <w:t>5</w:t>
            </w:r>
          </w:p>
        </w:tc>
        <w:tc>
          <w:tcPr>
            <w:tcW w:w="1019" w:type="dxa"/>
          </w:tcPr>
          <w:p w:rsidR="008E1B61" w:rsidRPr="008F01FF" w:rsidRDefault="008E1B61" w:rsidP="008E1B61"/>
        </w:tc>
        <w:tc>
          <w:tcPr>
            <w:tcW w:w="5503" w:type="dxa"/>
          </w:tcPr>
          <w:p w:rsidR="0064658F" w:rsidRPr="008F01FF" w:rsidRDefault="00BB6885" w:rsidP="0064658F">
            <w:r w:rsidRPr="008F01FF">
              <w:t>Chapter 5</w:t>
            </w:r>
            <w:r w:rsidR="0064658F" w:rsidRPr="008F01FF">
              <w:t xml:space="preserve"> – </w:t>
            </w:r>
            <w:r w:rsidRPr="008F01FF">
              <w:t>Discounts and markup/markdown</w:t>
            </w:r>
          </w:p>
          <w:p w:rsidR="00B85727" w:rsidRDefault="008F01FF" w:rsidP="0064658F">
            <w:r>
              <w:t>#12 p185  In the original…</w:t>
            </w:r>
          </w:p>
          <w:p w:rsidR="008F01FF" w:rsidRPr="008F01FF" w:rsidRDefault="008F01FF" w:rsidP="0064658F"/>
          <w:p w:rsidR="0064658F" w:rsidRPr="008F01FF" w:rsidRDefault="0064658F" w:rsidP="0064658F">
            <w:r w:rsidRPr="008F01FF">
              <w:t xml:space="preserve">Chapter </w:t>
            </w:r>
            <w:r w:rsidR="00BB6885" w:rsidRPr="008F01FF">
              <w:t>6</w:t>
            </w:r>
            <w:r w:rsidRPr="008F01FF">
              <w:t xml:space="preserve"> – </w:t>
            </w:r>
            <w:r w:rsidR="00BB6885" w:rsidRPr="008F01FF">
              <w:t>Breakeven</w:t>
            </w:r>
          </w:p>
          <w:p w:rsidR="00B85727" w:rsidRDefault="008F01FF" w:rsidP="0064658F">
            <w:r>
              <w:t>#7 p243 Parma is considering…</w:t>
            </w:r>
          </w:p>
          <w:p w:rsidR="008F01FF" w:rsidRPr="008F01FF" w:rsidRDefault="008F01FF" w:rsidP="0064658F"/>
          <w:p w:rsidR="0064658F" w:rsidRPr="008F01FF" w:rsidRDefault="0064658F" w:rsidP="0064658F">
            <w:r w:rsidRPr="008F01FF">
              <w:t xml:space="preserve">Chapter </w:t>
            </w:r>
            <w:r w:rsidR="00BB6885" w:rsidRPr="008F01FF">
              <w:t>7</w:t>
            </w:r>
            <w:r w:rsidRPr="008F01FF">
              <w:t xml:space="preserve"> – </w:t>
            </w:r>
            <w:r w:rsidR="00BB6885" w:rsidRPr="008F01FF">
              <w:t>Simple Interest</w:t>
            </w:r>
          </w:p>
          <w:p w:rsidR="00BB6885" w:rsidRDefault="008F01FF" w:rsidP="00BB6885">
            <w:r>
              <w:t>#17 p269  Bill filed…</w:t>
            </w:r>
          </w:p>
          <w:p w:rsidR="008F01FF" w:rsidRPr="008F01FF" w:rsidRDefault="008F01FF" w:rsidP="00BB6885"/>
          <w:p w:rsidR="00BB6885" w:rsidRPr="008F01FF" w:rsidRDefault="00BB6885" w:rsidP="00BB6885">
            <w:r w:rsidRPr="008F01FF">
              <w:t>Chapter 8 – Simple Interest</w:t>
            </w:r>
            <w:r w:rsidR="002D78EE" w:rsidRPr="008F01FF">
              <w:t xml:space="preserve"> Applications</w:t>
            </w:r>
          </w:p>
          <w:p w:rsidR="00BB6885" w:rsidRPr="008F01FF" w:rsidRDefault="008F01FF" w:rsidP="00BB6885">
            <w:r>
              <w:t>#11 p349 Joan borrowed…</w:t>
            </w:r>
          </w:p>
          <w:p w:rsidR="00BB6885" w:rsidRPr="008F01FF" w:rsidRDefault="00BB6885" w:rsidP="0064658F"/>
          <w:p w:rsidR="00BB6885" w:rsidRPr="008F01FF" w:rsidRDefault="00BB6885" w:rsidP="0064658F"/>
        </w:tc>
      </w:tr>
      <w:tr w:rsidR="00B85727" w:rsidRPr="008F01FF" w:rsidTr="00F733B2">
        <w:tc>
          <w:tcPr>
            <w:tcW w:w="2405" w:type="dxa"/>
          </w:tcPr>
          <w:p w:rsidR="00B85727" w:rsidRPr="008F01FF" w:rsidRDefault="005C7AD5" w:rsidP="00B85727">
            <w:pPr>
              <w:rPr>
                <w:bCs/>
                <w:spacing w:val="-3"/>
                <w:lang w:val="en-GB" w:eastAsia="en-US"/>
              </w:rPr>
            </w:pPr>
            <w:r w:rsidRPr="008F01FF">
              <w:rPr>
                <w:bCs/>
                <w:spacing w:val="-3"/>
                <w:lang w:val="en-GB" w:eastAsia="en-US"/>
              </w:rPr>
              <w:t>Test 1</w:t>
            </w:r>
            <w:r w:rsidR="00B85727" w:rsidRPr="008F01FF">
              <w:rPr>
                <w:bCs/>
                <w:spacing w:val="-3"/>
                <w:lang w:val="en-GB" w:eastAsia="en-US"/>
              </w:rPr>
              <w:t xml:space="preserve"> </w:t>
            </w:r>
            <w:r w:rsidRPr="008F01FF">
              <w:rPr>
                <w:bCs/>
                <w:spacing w:val="-3"/>
                <w:lang w:val="en-GB" w:eastAsia="en-US"/>
              </w:rPr>
              <w:t>@ 20%</w:t>
            </w:r>
          </w:p>
          <w:p w:rsidR="00B85727" w:rsidRPr="008F01FF" w:rsidRDefault="00B85727" w:rsidP="00BB6885">
            <w:r w:rsidRPr="008F01FF">
              <w:rPr>
                <w:bCs/>
                <w:spacing w:val="-3"/>
                <w:lang w:val="en-GB" w:eastAsia="en-US"/>
              </w:rPr>
              <w:t xml:space="preserve">Week of October </w:t>
            </w:r>
            <w:r w:rsidR="00BB6885" w:rsidRPr="008F01FF">
              <w:rPr>
                <w:bCs/>
                <w:spacing w:val="-3"/>
                <w:lang w:val="en-GB" w:eastAsia="en-US"/>
              </w:rPr>
              <w:t>5</w:t>
            </w:r>
          </w:p>
        </w:tc>
        <w:tc>
          <w:tcPr>
            <w:tcW w:w="788" w:type="dxa"/>
          </w:tcPr>
          <w:p w:rsidR="00B85727" w:rsidRPr="008F01FF" w:rsidRDefault="00FE610A" w:rsidP="00B85727">
            <w:r w:rsidRPr="008F01FF">
              <w:t>20</w:t>
            </w:r>
          </w:p>
        </w:tc>
        <w:tc>
          <w:tcPr>
            <w:tcW w:w="1019" w:type="dxa"/>
          </w:tcPr>
          <w:p w:rsidR="00B85727" w:rsidRPr="008F01FF" w:rsidRDefault="00B85727" w:rsidP="00B85727"/>
        </w:tc>
        <w:tc>
          <w:tcPr>
            <w:tcW w:w="5503" w:type="dxa"/>
          </w:tcPr>
          <w:p w:rsidR="00B85727" w:rsidRPr="008F01FF" w:rsidRDefault="00B85727" w:rsidP="00B85727">
            <w:r w:rsidRPr="008F01FF">
              <w:t xml:space="preserve">You will be tested on material covered in the first </w:t>
            </w:r>
            <w:r w:rsidR="00BB6885" w:rsidRPr="008F01FF">
              <w:t>2 units</w:t>
            </w:r>
            <w:r w:rsidRPr="008F01FF">
              <w:t xml:space="preserve"> of the course.  The test will b</w:t>
            </w:r>
            <w:r w:rsidR="00BB6885" w:rsidRPr="008F01FF">
              <w:t>e one hour in duration, and be 6</w:t>
            </w:r>
            <w:r w:rsidRPr="008F01FF">
              <w:t xml:space="preserve">0% Multiple Choice and </w:t>
            </w:r>
            <w:r w:rsidR="00BB6885" w:rsidRPr="008F01FF">
              <w:t>4</w:t>
            </w:r>
            <w:r w:rsidRPr="008F01FF">
              <w:t xml:space="preserve">0% Short Answer </w:t>
            </w:r>
            <w:r w:rsidR="00BB6885" w:rsidRPr="008F01FF">
              <w:t>problems</w:t>
            </w:r>
            <w:r w:rsidRPr="008F01FF">
              <w:t xml:space="preserve">. </w:t>
            </w:r>
          </w:p>
          <w:p w:rsidR="00B85727" w:rsidRPr="008F01FF" w:rsidRDefault="00B85727" w:rsidP="00B85727"/>
        </w:tc>
      </w:tr>
      <w:tr w:rsidR="00B85727" w:rsidRPr="008F01FF" w:rsidTr="00F733B2">
        <w:tc>
          <w:tcPr>
            <w:tcW w:w="2405" w:type="dxa"/>
          </w:tcPr>
          <w:p w:rsidR="00B85727" w:rsidRPr="008F01FF" w:rsidRDefault="00B85727" w:rsidP="00B85727">
            <w:r w:rsidRPr="008F01FF">
              <w:t xml:space="preserve">Hand In Assignment </w:t>
            </w:r>
            <w:r w:rsidR="00BB6885" w:rsidRPr="008F01FF">
              <w:t>2</w:t>
            </w:r>
          </w:p>
          <w:p w:rsidR="00B85727" w:rsidRPr="008F01FF" w:rsidRDefault="00B85727" w:rsidP="0013443E">
            <w:r w:rsidRPr="008F01FF">
              <w:t xml:space="preserve">Assignment 3 Due on Friday, November </w:t>
            </w:r>
            <w:r w:rsidR="0013443E" w:rsidRPr="008F01FF">
              <w:t>6</w:t>
            </w:r>
            <w:r w:rsidRPr="008F01FF">
              <w:t>.</w:t>
            </w:r>
          </w:p>
        </w:tc>
        <w:tc>
          <w:tcPr>
            <w:tcW w:w="788" w:type="dxa"/>
          </w:tcPr>
          <w:p w:rsidR="00B85727" w:rsidRPr="008F01FF" w:rsidRDefault="00B85727" w:rsidP="00B85727">
            <w:r w:rsidRPr="008F01FF">
              <w:t>5</w:t>
            </w:r>
          </w:p>
        </w:tc>
        <w:tc>
          <w:tcPr>
            <w:tcW w:w="1019" w:type="dxa"/>
          </w:tcPr>
          <w:p w:rsidR="00B85727" w:rsidRPr="008F01FF" w:rsidRDefault="00B85727" w:rsidP="00B85727"/>
        </w:tc>
        <w:tc>
          <w:tcPr>
            <w:tcW w:w="5503" w:type="dxa"/>
          </w:tcPr>
          <w:p w:rsidR="00FE610A" w:rsidRPr="008F01FF" w:rsidRDefault="00FE610A" w:rsidP="00FE610A">
            <w:r w:rsidRPr="008F01FF">
              <w:t>Chapter 9 – Compound Interest</w:t>
            </w:r>
          </w:p>
          <w:p w:rsidR="00FE610A" w:rsidRPr="008F01FF" w:rsidRDefault="00FE610A" w:rsidP="00FE610A"/>
          <w:p w:rsidR="00FE610A" w:rsidRPr="008F01FF" w:rsidRDefault="00FE610A" w:rsidP="00FE610A">
            <w:r w:rsidRPr="008F01FF">
              <w:t>Chapter 14 – Amortization</w:t>
            </w:r>
          </w:p>
          <w:p w:rsidR="00FE610A" w:rsidRPr="008F01FF" w:rsidRDefault="00FE610A" w:rsidP="00FE610A"/>
          <w:p w:rsidR="00B85727" w:rsidRPr="008F01FF" w:rsidRDefault="00FE610A" w:rsidP="00FE610A">
            <w:r w:rsidRPr="008F01FF">
              <w:t>Chapter 15 – Bonds and Sinking Funds</w:t>
            </w:r>
          </w:p>
          <w:p w:rsidR="00FE610A" w:rsidRPr="008F01FF" w:rsidRDefault="00FE610A" w:rsidP="00FE610A"/>
          <w:p w:rsidR="00FE610A" w:rsidRPr="008F01FF" w:rsidRDefault="00FE610A" w:rsidP="00FE610A">
            <w:r w:rsidRPr="008F01FF">
              <w:t>Chapter 16  – Capital Budgets</w:t>
            </w:r>
          </w:p>
          <w:p w:rsidR="00FE610A" w:rsidRPr="008F01FF" w:rsidRDefault="00FE610A" w:rsidP="00FE610A"/>
          <w:p w:rsidR="00FE610A" w:rsidRPr="008F01FF" w:rsidRDefault="00FE610A" w:rsidP="00FE610A">
            <w:r w:rsidRPr="008F01FF">
              <w:t>Chapter 3 – Foreign Exchange</w:t>
            </w:r>
          </w:p>
        </w:tc>
      </w:tr>
      <w:tr w:rsidR="00B85727" w:rsidRPr="008F01FF" w:rsidTr="00F733B2">
        <w:tc>
          <w:tcPr>
            <w:tcW w:w="2405" w:type="dxa"/>
          </w:tcPr>
          <w:p w:rsidR="00BB6885" w:rsidRPr="008F01FF" w:rsidRDefault="00BB6885" w:rsidP="00BB6885">
            <w:pPr>
              <w:rPr>
                <w:bCs/>
                <w:spacing w:val="-3"/>
                <w:lang w:val="en-GB" w:eastAsia="en-US"/>
              </w:rPr>
            </w:pPr>
            <w:r w:rsidRPr="008F01FF">
              <w:rPr>
                <w:bCs/>
                <w:spacing w:val="-3"/>
                <w:lang w:val="en-GB" w:eastAsia="en-US"/>
              </w:rPr>
              <w:t>Test 2 @ 20%</w:t>
            </w:r>
          </w:p>
          <w:p w:rsidR="00B85727" w:rsidRPr="008F01FF" w:rsidRDefault="00BB6885" w:rsidP="00BB6885">
            <w:r w:rsidRPr="008F01FF">
              <w:rPr>
                <w:bCs/>
                <w:spacing w:val="-3"/>
                <w:lang w:val="en-GB" w:eastAsia="en-US"/>
              </w:rPr>
              <w:t>Week of November 9</w:t>
            </w:r>
          </w:p>
        </w:tc>
        <w:tc>
          <w:tcPr>
            <w:tcW w:w="788" w:type="dxa"/>
          </w:tcPr>
          <w:p w:rsidR="00B85727" w:rsidRPr="008F01FF" w:rsidRDefault="00FE610A" w:rsidP="00B85727">
            <w:r w:rsidRPr="008F01FF">
              <w:t>20</w:t>
            </w:r>
          </w:p>
        </w:tc>
        <w:tc>
          <w:tcPr>
            <w:tcW w:w="1019" w:type="dxa"/>
          </w:tcPr>
          <w:p w:rsidR="00B85727" w:rsidRPr="008F01FF" w:rsidRDefault="00B85727" w:rsidP="00B85727"/>
        </w:tc>
        <w:tc>
          <w:tcPr>
            <w:tcW w:w="5503" w:type="dxa"/>
          </w:tcPr>
          <w:p w:rsidR="00BB6885" w:rsidRPr="008F01FF" w:rsidRDefault="00BB6885" w:rsidP="00BB6885">
            <w:r w:rsidRPr="008F01FF">
              <w:t xml:space="preserve">You will be tested on material covered in units 3 &amp; 4 of the course.  The test will be one hour in duration, and be 60% Multiple Choice and 40% Short Answer problems. </w:t>
            </w:r>
          </w:p>
          <w:p w:rsidR="00B85727" w:rsidRPr="008F01FF" w:rsidRDefault="00B85727" w:rsidP="00B85727"/>
        </w:tc>
      </w:tr>
      <w:tr w:rsidR="00B85727" w:rsidRPr="008F01FF" w:rsidTr="00F733B2">
        <w:tc>
          <w:tcPr>
            <w:tcW w:w="2405" w:type="dxa"/>
          </w:tcPr>
          <w:p w:rsidR="00B85727" w:rsidRPr="008F01FF" w:rsidRDefault="00B85727" w:rsidP="00B85727">
            <w:pPr>
              <w:rPr>
                <w:bCs/>
                <w:spacing w:val="-3"/>
                <w:lang w:val="en-GB" w:eastAsia="en-US"/>
              </w:rPr>
            </w:pPr>
            <w:r w:rsidRPr="008F01FF">
              <w:rPr>
                <w:bCs/>
                <w:spacing w:val="-3"/>
                <w:lang w:val="en-GB" w:eastAsia="en-US"/>
              </w:rPr>
              <w:t>Final Exam</w:t>
            </w:r>
          </w:p>
          <w:p w:rsidR="00B85727" w:rsidRPr="008F01FF" w:rsidRDefault="00B85727" w:rsidP="00B85727">
            <w:r w:rsidRPr="008F01FF">
              <w:rPr>
                <w:bCs/>
                <w:spacing w:val="-3"/>
                <w:lang w:val="en-GB" w:eastAsia="en-US"/>
              </w:rPr>
              <w:t>During the Final Exam Period</w:t>
            </w:r>
          </w:p>
        </w:tc>
        <w:tc>
          <w:tcPr>
            <w:tcW w:w="788" w:type="dxa"/>
          </w:tcPr>
          <w:p w:rsidR="00B85727" w:rsidRPr="008F01FF" w:rsidRDefault="00B85727" w:rsidP="00B85727">
            <w:r w:rsidRPr="008F01FF">
              <w:t>5</w:t>
            </w:r>
            <w:r w:rsidR="005C7AD5" w:rsidRPr="008F01FF">
              <w:t>0</w:t>
            </w:r>
          </w:p>
        </w:tc>
        <w:tc>
          <w:tcPr>
            <w:tcW w:w="1019" w:type="dxa"/>
          </w:tcPr>
          <w:p w:rsidR="00B85727" w:rsidRPr="008F01FF" w:rsidRDefault="00B85727" w:rsidP="00B85727"/>
        </w:tc>
        <w:tc>
          <w:tcPr>
            <w:tcW w:w="5503" w:type="dxa"/>
          </w:tcPr>
          <w:p w:rsidR="00B85727" w:rsidRPr="008F01FF" w:rsidRDefault="00B85727" w:rsidP="00B85727">
            <w:r w:rsidRPr="008F01FF">
              <w:t>This is a comprehensive exam consisting of material from throughout the course</w:t>
            </w:r>
            <w:r w:rsidR="00BB6885" w:rsidRPr="008F01FF">
              <w:t xml:space="preserve"> (Units 1-6)   </w:t>
            </w:r>
            <w:r w:rsidRPr="008F01FF">
              <w:t xml:space="preserve">.  The test will be two hours in duration, and be 60% Multiple Choice and 40% Short Answer </w:t>
            </w:r>
            <w:r w:rsidR="00BB6885" w:rsidRPr="008F01FF">
              <w:t>problems</w:t>
            </w:r>
            <w:r w:rsidRPr="008F01FF">
              <w:t>.</w:t>
            </w:r>
          </w:p>
          <w:p w:rsidR="00B85727" w:rsidRPr="008F01FF" w:rsidRDefault="00B85727" w:rsidP="00B85727">
            <w:r w:rsidRPr="008F01FF">
              <w:t xml:space="preserve"> </w:t>
            </w:r>
          </w:p>
        </w:tc>
      </w:tr>
      <w:tr w:rsidR="00B85727" w:rsidRPr="008F01FF" w:rsidTr="00F733B2">
        <w:trPr>
          <w:trHeight w:val="620"/>
        </w:trPr>
        <w:tc>
          <w:tcPr>
            <w:tcW w:w="2405" w:type="dxa"/>
          </w:tcPr>
          <w:p w:rsidR="00B85727" w:rsidRPr="008F01FF" w:rsidRDefault="00B85727" w:rsidP="00B85727">
            <w:pPr>
              <w:rPr>
                <w:b/>
              </w:rPr>
            </w:pPr>
            <w:r w:rsidRPr="008F01FF">
              <w:rPr>
                <w:b/>
              </w:rPr>
              <w:t>Total</w:t>
            </w:r>
          </w:p>
        </w:tc>
        <w:tc>
          <w:tcPr>
            <w:tcW w:w="788" w:type="dxa"/>
          </w:tcPr>
          <w:p w:rsidR="00B85727" w:rsidRPr="008F01FF" w:rsidRDefault="00B85727" w:rsidP="00B85727">
            <w:pPr>
              <w:rPr>
                <w:b/>
              </w:rPr>
            </w:pPr>
            <w:r w:rsidRPr="008F01FF">
              <w:rPr>
                <w:b/>
              </w:rPr>
              <w:t>100</w:t>
            </w:r>
          </w:p>
        </w:tc>
        <w:tc>
          <w:tcPr>
            <w:tcW w:w="1019" w:type="dxa"/>
          </w:tcPr>
          <w:p w:rsidR="00B85727" w:rsidRPr="008F01FF" w:rsidRDefault="00B85727" w:rsidP="00B85727">
            <w:pPr>
              <w:rPr>
                <w:b/>
              </w:rPr>
            </w:pPr>
          </w:p>
        </w:tc>
        <w:tc>
          <w:tcPr>
            <w:tcW w:w="5503" w:type="dxa"/>
          </w:tcPr>
          <w:p w:rsidR="00B85727" w:rsidRPr="008F01FF" w:rsidRDefault="00B85727" w:rsidP="00B85727">
            <w:pPr>
              <w:rPr>
                <w:b/>
              </w:rPr>
            </w:pPr>
          </w:p>
        </w:tc>
      </w:tr>
    </w:tbl>
    <w:p w:rsidR="005C7AD5" w:rsidRPr="00D13C09" w:rsidRDefault="005C7AD5" w:rsidP="008321AD">
      <w:pPr>
        <w:pStyle w:val="Default"/>
        <w:rPr>
          <w:b/>
        </w:rPr>
      </w:pPr>
      <w:bookmarkStart w:id="0" w:name="_GoBack"/>
      <w:bookmarkEnd w:id="0"/>
    </w:p>
    <w:sectPr w:rsidR="005C7AD5" w:rsidRPr="00D13C09">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A27" w:rsidRDefault="00E75A27" w:rsidP="001803B6">
      <w:pPr>
        <w:spacing w:after="0" w:line="240" w:lineRule="auto"/>
      </w:pPr>
      <w:r>
        <w:separator/>
      </w:r>
    </w:p>
  </w:endnote>
  <w:endnote w:type="continuationSeparator" w:id="0">
    <w:p w:rsidR="00E75A27" w:rsidRDefault="00E75A27" w:rsidP="00180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875640"/>
      <w:docPartObj>
        <w:docPartGallery w:val="Page Numbers (Bottom of Page)"/>
        <w:docPartUnique/>
      </w:docPartObj>
    </w:sdtPr>
    <w:sdtEndPr>
      <w:rPr>
        <w:color w:val="7F7F7F" w:themeColor="background1" w:themeShade="7F"/>
        <w:spacing w:val="60"/>
      </w:rPr>
    </w:sdtEndPr>
    <w:sdtContent>
      <w:p w:rsidR="001803B6" w:rsidRDefault="001803B6">
        <w:pPr>
          <w:pStyle w:val="Footer"/>
          <w:pBdr>
            <w:top w:val="single" w:sz="4" w:space="1" w:color="D9D9D9" w:themeColor="background1" w:themeShade="D9"/>
          </w:pBdr>
          <w:jc w:val="right"/>
        </w:pPr>
        <w:r>
          <w:fldChar w:fldCharType="begin"/>
        </w:r>
        <w:r>
          <w:instrText xml:space="preserve"> PAGE   \* MERGEFORMAT </w:instrText>
        </w:r>
        <w:r>
          <w:fldChar w:fldCharType="separate"/>
        </w:r>
        <w:r w:rsidR="00E75A27">
          <w:rPr>
            <w:noProof/>
          </w:rPr>
          <w:t>1</w:t>
        </w:r>
        <w:r>
          <w:rPr>
            <w:noProof/>
          </w:rPr>
          <w:fldChar w:fldCharType="end"/>
        </w:r>
        <w:r>
          <w:t xml:space="preserve"> | </w:t>
        </w:r>
        <w:r w:rsidR="00DA3624">
          <w:rPr>
            <w:color w:val="7F7F7F" w:themeColor="background1" w:themeShade="7F"/>
            <w:spacing w:val="60"/>
          </w:rPr>
          <w:t>Microeconomics</w:t>
        </w:r>
        <w:r>
          <w:rPr>
            <w:color w:val="7F7F7F" w:themeColor="background1" w:themeShade="7F"/>
            <w:spacing w:val="60"/>
          </w:rPr>
          <w:t xml:space="preserve"> – Syllabus – Fall 2014</w:t>
        </w:r>
      </w:p>
    </w:sdtContent>
  </w:sdt>
  <w:p w:rsidR="001803B6" w:rsidRDefault="001803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A27" w:rsidRDefault="00E75A27" w:rsidP="001803B6">
      <w:pPr>
        <w:spacing w:after="0" w:line="240" w:lineRule="auto"/>
      </w:pPr>
      <w:r>
        <w:separator/>
      </w:r>
    </w:p>
  </w:footnote>
  <w:footnote w:type="continuationSeparator" w:id="0">
    <w:p w:rsidR="00E75A27" w:rsidRDefault="00E75A27" w:rsidP="00180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4FF1"/>
    <w:multiLevelType w:val="hybridMultilevel"/>
    <w:tmpl w:val="51F44F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72690E"/>
    <w:multiLevelType w:val="hybridMultilevel"/>
    <w:tmpl w:val="F1D0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07D23"/>
    <w:multiLevelType w:val="multilevel"/>
    <w:tmpl w:val="000E595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6606401E"/>
    <w:multiLevelType w:val="hybridMultilevel"/>
    <w:tmpl w:val="FE0CB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BA6"/>
    <w:rsid w:val="000D36FD"/>
    <w:rsid w:val="0013443E"/>
    <w:rsid w:val="00161BD0"/>
    <w:rsid w:val="001803B6"/>
    <w:rsid w:val="002079C4"/>
    <w:rsid w:val="00240CF8"/>
    <w:rsid w:val="002D78EE"/>
    <w:rsid w:val="0035552E"/>
    <w:rsid w:val="004459F0"/>
    <w:rsid w:val="005723DE"/>
    <w:rsid w:val="005C7AD5"/>
    <w:rsid w:val="005E06C4"/>
    <w:rsid w:val="005E0D5F"/>
    <w:rsid w:val="005F5A74"/>
    <w:rsid w:val="00610BA6"/>
    <w:rsid w:val="0064658F"/>
    <w:rsid w:val="006F358B"/>
    <w:rsid w:val="007259B2"/>
    <w:rsid w:val="00777D58"/>
    <w:rsid w:val="00791C98"/>
    <w:rsid w:val="008321AD"/>
    <w:rsid w:val="008E1B61"/>
    <w:rsid w:val="008F01FF"/>
    <w:rsid w:val="00913E80"/>
    <w:rsid w:val="009210EB"/>
    <w:rsid w:val="009B322C"/>
    <w:rsid w:val="00B85727"/>
    <w:rsid w:val="00B85E57"/>
    <w:rsid w:val="00B952B3"/>
    <w:rsid w:val="00BB6885"/>
    <w:rsid w:val="00BF3E68"/>
    <w:rsid w:val="00D13C09"/>
    <w:rsid w:val="00DA3624"/>
    <w:rsid w:val="00E75A27"/>
    <w:rsid w:val="00E82FA0"/>
    <w:rsid w:val="00F733B2"/>
    <w:rsid w:val="00FE6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AFEB22-D4EE-4D44-882D-2FF9BE29A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207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0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3B6"/>
  </w:style>
  <w:style w:type="paragraph" w:styleId="Footer">
    <w:name w:val="footer"/>
    <w:basedOn w:val="Normal"/>
    <w:link w:val="FooterChar"/>
    <w:uiPriority w:val="99"/>
    <w:unhideWhenUsed/>
    <w:rsid w:val="001803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3B6"/>
  </w:style>
  <w:style w:type="paragraph" w:styleId="BalloonText">
    <w:name w:val="Balloon Text"/>
    <w:basedOn w:val="Normal"/>
    <w:link w:val="BalloonTextChar"/>
    <w:uiPriority w:val="99"/>
    <w:semiHidden/>
    <w:unhideWhenUsed/>
    <w:rsid w:val="00D13C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09"/>
    <w:rPr>
      <w:rFonts w:ascii="Segoe UI" w:hAnsi="Segoe UI" w:cs="Segoe UI"/>
      <w:sz w:val="18"/>
      <w:szCs w:val="18"/>
    </w:rPr>
  </w:style>
  <w:style w:type="paragraph" w:customStyle="1" w:styleId="Default">
    <w:name w:val="Default"/>
    <w:rsid w:val="005C7AD5"/>
    <w:pPr>
      <w:autoSpaceDE w:val="0"/>
      <w:autoSpaceDN w:val="0"/>
      <w:adjustRightInd w:val="0"/>
      <w:spacing w:after="0" w:line="240" w:lineRule="auto"/>
    </w:pPr>
    <w:rPr>
      <w:rFonts w:ascii="Times New Roman" w:hAnsi="Times New Roman" w:cs="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tilley\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74</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Tilley, Paul (C'ville)</dc:creator>
  <cp:keywords/>
  <cp:lastModifiedBy>Tilley, Paul (C'ville)</cp:lastModifiedBy>
  <cp:revision>7</cp:revision>
  <cp:lastPrinted>2015-09-08T16:37:00Z</cp:lastPrinted>
  <dcterms:created xsi:type="dcterms:W3CDTF">2015-09-08T16:38:00Z</dcterms:created>
  <dcterms:modified xsi:type="dcterms:W3CDTF">2015-09-10T17:00:00Z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