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680" w:type="dxa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"/>
        <w:gridCol w:w="332"/>
        <w:gridCol w:w="1446"/>
        <w:gridCol w:w="6229"/>
        <w:gridCol w:w="5398"/>
        <w:gridCol w:w="5450"/>
        <w:gridCol w:w="5398"/>
        <w:gridCol w:w="487"/>
        <w:gridCol w:w="5398"/>
        <w:gridCol w:w="1552"/>
      </w:tblGrid>
      <w:tr w:rsidR="00F51701" w:rsidRPr="001109AE" w:rsidTr="00DC2600">
        <w:trPr>
          <w:tblCellSpacing w:w="0" w:type="dxa"/>
        </w:trPr>
        <w:tc>
          <w:tcPr>
            <w:tcW w:w="31740" w:type="dxa"/>
            <w:gridSpan w:val="10"/>
            <w:shd w:val="clear" w:color="auto" w:fill="FFFFFF"/>
            <w:hideMark/>
          </w:tcPr>
          <w:p w:rsidR="00F51701" w:rsidRPr="001109AE" w:rsidRDefault="00F51701" w:rsidP="00807C0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rPr>
          <w:tblCellSpacing w:w="0" w:type="dxa"/>
        </w:trPr>
        <w:tc>
          <w:tcPr>
            <w:tcW w:w="31740" w:type="dxa"/>
            <w:gridSpan w:val="10"/>
            <w:shd w:val="clear" w:color="auto" w:fill="FFFFFF"/>
            <w:hideMark/>
          </w:tcPr>
          <w:p w:rsidR="00F51701" w:rsidRPr="001109AE" w:rsidRDefault="00F51701" w:rsidP="00807C0E">
            <w:pPr>
              <w:spacing w:after="24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rPr>
          <w:tblCellSpacing w:w="0" w:type="dxa"/>
        </w:trPr>
        <w:tc>
          <w:tcPr>
            <w:tcW w:w="31740" w:type="dxa"/>
            <w:gridSpan w:val="10"/>
            <w:shd w:val="clear" w:color="auto" w:fill="EEF7F7"/>
            <w:hideMark/>
          </w:tcPr>
          <w:p w:rsidR="008748C8" w:rsidRPr="001109AE" w:rsidRDefault="00063C21" w:rsidP="00807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LW1210</w:t>
            </w:r>
          </w:p>
          <w:p w:rsidR="0024102C" w:rsidRPr="001109AE" w:rsidRDefault="00063C21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Labour</w:t>
            </w:r>
            <w:proofErr w:type="spellEnd"/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and Employment Law</w:t>
            </w:r>
          </w:p>
          <w:p w:rsidR="00F51701" w:rsidRPr="001109AE" w:rsidRDefault="008748C8" w:rsidP="00DC260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Winter 20</w:t>
            </w:r>
            <w:r w:rsidR="0047284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12</w:t>
            </w:r>
            <w:bookmarkStart w:id="0" w:name="_GoBack"/>
            <w:bookmarkEnd w:id="0"/>
            <w:r w:rsidR="00FB7B02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– Cours</w:t>
            </w:r>
            <w:r w:rsidR="00CF6161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FB7B02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Syllabus</w:t>
            </w:r>
            <w:r w:rsidR="0024102C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(updated </w:t>
            </w:r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Jan </w:t>
            </w:r>
            <w:r w:rsidR="00DC26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</w:t>
            </w:r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 20</w:t>
            </w:r>
            <w:r w:rsidR="00DC260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</w:t>
            </w:r>
            <w:r w:rsidR="0024102C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) </w:t>
            </w:r>
          </w:p>
        </w:tc>
      </w:tr>
      <w:tr w:rsidR="00F51701" w:rsidRPr="001109AE" w:rsidTr="00093536">
        <w:trPr>
          <w:tblCellSpacing w:w="0" w:type="dxa"/>
        </w:trPr>
        <w:tc>
          <w:tcPr>
            <w:tcW w:w="456" w:type="dxa"/>
            <w:gridSpan w:val="2"/>
            <w:shd w:val="clear" w:color="auto" w:fill="FFFFFF"/>
            <w:hideMark/>
          </w:tcPr>
          <w:p w:rsidR="00F51701" w:rsidRPr="001109AE" w:rsidRDefault="00F51701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84" w:type="dxa"/>
            <w:gridSpan w:val="8"/>
            <w:shd w:val="clear" w:color="auto" w:fill="FFFFFF"/>
            <w:hideMark/>
          </w:tcPr>
          <w:p w:rsidR="00F51701" w:rsidRPr="001109AE" w:rsidRDefault="00F51701" w:rsidP="00807C0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rPr>
          <w:tblCellSpacing w:w="0" w:type="dxa"/>
        </w:trPr>
        <w:tc>
          <w:tcPr>
            <w:tcW w:w="31740" w:type="dxa"/>
            <w:gridSpan w:val="10"/>
            <w:shd w:val="clear" w:color="auto" w:fill="EEF7F7"/>
            <w:hideMark/>
          </w:tcPr>
          <w:p w:rsidR="0024102C" w:rsidRPr="001109AE" w:rsidRDefault="0024102C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INSTRUCTOR</w:t>
            </w:r>
          </w:p>
          <w:p w:rsidR="0024102C" w:rsidRPr="001109AE" w:rsidRDefault="0024102C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F51701" w:rsidRPr="001109AE" w:rsidRDefault="0024102C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Paul Tilley, Room 247, Clarenville Campus</w:t>
            </w:r>
          </w:p>
          <w:p w:rsidR="0024102C" w:rsidRPr="001109AE" w:rsidRDefault="0024102C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466.6948   </w:t>
            </w:r>
            <w:hyperlink r:id="rId8" w:history="1">
              <w:r w:rsidRPr="001109AE">
                <w:rPr>
                  <w:rStyle w:val="Hyperlink"/>
                  <w:rFonts w:ascii="Arial" w:eastAsia="Times New Roman" w:hAnsi="Arial" w:cs="Arial"/>
                  <w:b/>
                  <w:color w:val="000000" w:themeColor="text1"/>
                  <w:sz w:val="20"/>
                  <w:szCs w:val="20"/>
                  <w:bdr w:val="none" w:sz="0" w:space="0" w:color="auto"/>
                  <w:shd w:val="clear" w:color="auto" w:fill="auto"/>
                </w:rPr>
                <w:t>paul.tilley@cna.nl.ca</w:t>
              </w:r>
            </w:hyperlink>
          </w:p>
          <w:p w:rsidR="0024102C" w:rsidRPr="001109AE" w:rsidRDefault="00EA1557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Facebook Based Course Website – “Paul Tilley’s Human Resource Page”</w:t>
            </w:r>
          </w:p>
        </w:tc>
      </w:tr>
      <w:tr w:rsidR="00F51701" w:rsidRPr="001109AE" w:rsidTr="00093536">
        <w:trPr>
          <w:tblCellSpacing w:w="0" w:type="dxa"/>
        </w:trPr>
        <w:tc>
          <w:tcPr>
            <w:tcW w:w="456" w:type="dxa"/>
            <w:gridSpan w:val="2"/>
            <w:shd w:val="clear" w:color="auto" w:fill="FFFFFF"/>
            <w:hideMark/>
          </w:tcPr>
          <w:p w:rsidR="00F51701" w:rsidRPr="001109AE" w:rsidRDefault="00F51701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84" w:type="dxa"/>
            <w:gridSpan w:val="8"/>
            <w:shd w:val="clear" w:color="auto" w:fill="FFFFFF"/>
            <w:hideMark/>
          </w:tcPr>
          <w:p w:rsidR="00F51701" w:rsidRPr="001109AE" w:rsidRDefault="00F51701" w:rsidP="00807C0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blPrEx>
          <w:tblCellSpacing w:w="0" w:type="nil"/>
        </w:tblPrEx>
        <w:tc>
          <w:tcPr>
            <w:tcW w:w="31740" w:type="dxa"/>
            <w:gridSpan w:val="10"/>
            <w:shd w:val="clear" w:color="auto" w:fill="EEF7F7"/>
            <w:hideMark/>
          </w:tcPr>
          <w:p w:rsidR="00A23180" w:rsidRPr="001109AE" w:rsidRDefault="00EF065D" w:rsidP="00807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20"/>
                <w:szCs w:val="20"/>
              </w:rPr>
              <w:t>Calendar &amp; Course Outline</w:t>
            </w:r>
          </w:p>
        </w:tc>
      </w:tr>
      <w:tr w:rsidR="00F51701" w:rsidRPr="001109AE" w:rsidTr="00093536">
        <w:tblPrEx>
          <w:tblCellSpacing w:w="0" w:type="nil"/>
        </w:tblPrEx>
        <w:tc>
          <w:tcPr>
            <w:tcW w:w="456" w:type="dxa"/>
            <w:gridSpan w:val="2"/>
            <w:shd w:val="clear" w:color="auto" w:fill="FFFFFF"/>
            <w:hideMark/>
          </w:tcPr>
          <w:p w:rsidR="00F51701" w:rsidRPr="001109AE" w:rsidRDefault="00F51701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84" w:type="dxa"/>
            <w:gridSpan w:val="8"/>
            <w:shd w:val="clear" w:color="auto" w:fill="FFFFFF"/>
            <w:hideMark/>
          </w:tcPr>
          <w:tbl>
            <w:tblPr>
              <w:tblW w:w="12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06"/>
              <w:gridCol w:w="1683"/>
              <w:gridCol w:w="9266"/>
            </w:tblGrid>
            <w:tr w:rsidR="00EA1557" w:rsidRPr="001109AE" w:rsidTr="00EA1557">
              <w:trPr>
                <w:trHeight w:val="30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Week</w:t>
                  </w:r>
                </w:p>
              </w:tc>
              <w:tc>
                <w:tcPr>
                  <w:tcW w:w="1683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Monday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Key Events</w:t>
                  </w:r>
                </w:p>
              </w:tc>
            </w:tr>
            <w:tr w:rsidR="00EA1557" w:rsidRPr="001109AE" w:rsidTr="00EA1557">
              <w:trPr>
                <w:trHeight w:val="413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Jan 3 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Overview, Expectations and Syllabus Review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Jan 9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1 – Legal framework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Constitution of Canada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Charter of Rights and Freedoms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Jan 16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2 – Human Rights Issues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Canadian Human Rights Code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Jan 23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3 – Common Law issues</w:t>
                  </w:r>
                </w:p>
              </w:tc>
            </w:tr>
            <w:tr w:rsidR="00EA1557" w:rsidRPr="001109AE" w:rsidTr="00EA1557">
              <w:trPr>
                <w:trHeight w:val="737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Jan 30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4 – The Employment Contract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Labour</w:t>
                  </w:r>
                  <w:proofErr w:type="spellEnd"/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Relations Act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Canadian </w:t>
                  </w:r>
                  <w:proofErr w:type="spellStart"/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Labour</w:t>
                  </w:r>
                  <w:proofErr w:type="spellEnd"/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Code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Feb 6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Midterm Exam 1 (</w:t>
                  </w:r>
                  <w:proofErr w:type="spellStart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Ch</w:t>
                  </w:r>
                  <w:proofErr w:type="spellEnd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1-4)</w:t>
                  </w:r>
                  <w:r w:rsid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615485" w:rsidRP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(15%)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Feb 1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6 – Employment Standards Act</w:t>
                  </w:r>
                </w:p>
                <w:p w:rsidR="004452F5" w:rsidRDefault="00EA1557" w:rsidP="004452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Labour Standards Act</w:t>
                  </w:r>
                  <w:r w:rsidR="004452F5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4452F5" w:rsidRDefault="004452F5" w:rsidP="004452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EA1557" w:rsidRPr="00EA1557" w:rsidRDefault="00615485" w:rsidP="0061548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Case Presentation </w:t>
                  </w:r>
                  <w:proofErr w:type="gramStart"/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1  (</w:t>
                  </w:r>
                  <w:proofErr w:type="gramEnd"/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10</w:t>
                  </w:r>
                  <w:r w:rsidRP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%)</w:t>
                  </w:r>
                </w:p>
              </w:tc>
            </w:tr>
            <w:tr w:rsidR="00EA1557" w:rsidRPr="001109AE" w:rsidTr="00EA1557">
              <w:trPr>
                <w:trHeight w:val="35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Feb 20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Read Ch. 9 – Equity in the Workplace 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Human Rights Legislation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683" w:type="dxa"/>
                  <w:tcBorders>
                    <w:bottom w:val="single" w:sz="4" w:space="0" w:color="auto"/>
                  </w:tcBorders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DC2600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Feb</w:t>
                  </w:r>
                  <w:r w:rsidR="00EA1557"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Read Ch. 10 – Privacy 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683" w:type="dxa"/>
                  <w:tcBorders>
                    <w:bottom w:val="single" w:sz="4" w:space="0" w:color="auto"/>
                  </w:tcBorders>
                  <w:shd w:val="pct12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March 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5</w:t>
                  </w: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Break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BREAK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March 1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Midterm Exam 2 (</w:t>
                  </w:r>
                  <w:proofErr w:type="spellStart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Ch</w:t>
                  </w:r>
                  <w:proofErr w:type="spellEnd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6</w:t>
                  </w:r>
                  <w:proofErr w:type="gramStart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,9</w:t>
                  </w:r>
                  <w:proofErr w:type="gramEnd"/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&amp; 10)</w:t>
                  </w:r>
                  <w:r w:rsid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(15%)</w:t>
                  </w:r>
                  <w:r w:rsidR="004452F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March 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615485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Case Presentation 2</w:t>
                  </w:r>
                  <w:r w:rsidR="004452F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(10%)</w:t>
                  </w:r>
                </w:p>
              </w:tc>
            </w:tr>
            <w:tr w:rsidR="00EA1557" w:rsidRPr="001109AE" w:rsidTr="00EA1557">
              <w:trPr>
                <w:trHeight w:val="53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83" w:type="dxa"/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March 2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14 Dismissal with cause</w:t>
                  </w:r>
                </w:p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683" w:type="dxa"/>
                  <w:tcBorders>
                    <w:bottom w:val="single" w:sz="4" w:space="0" w:color="auto"/>
                  </w:tcBorders>
                  <w:shd w:val="pct20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April 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pStyle w:val="ListParagraph"/>
                    <w:spacing w:after="0" w:line="240" w:lineRule="auto"/>
                    <w:ind w:left="0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Read Ch. 15 Dismissal without cause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683" w:type="dxa"/>
                  <w:shd w:val="pct12" w:color="auto" w:fill="auto"/>
                  <w:noWrap/>
                  <w:vAlign w:val="bottom"/>
                  <w:hideMark/>
                </w:tcPr>
                <w:p w:rsidR="00EA1557" w:rsidRP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April 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4452F5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Research Paper and Presentation (20%)</w:t>
                  </w:r>
                </w:p>
              </w:tc>
            </w:tr>
            <w:tr w:rsidR="00EA1557" w:rsidRPr="001109AE" w:rsidTr="00EA1557">
              <w:trPr>
                <w:trHeight w:val="440"/>
              </w:trPr>
              <w:tc>
                <w:tcPr>
                  <w:tcW w:w="1606" w:type="dxa"/>
                  <w:shd w:val="clear" w:color="auto" w:fill="auto"/>
                  <w:noWrap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683" w:type="dxa"/>
                  <w:shd w:val="clear" w:color="auto" w:fill="auto"/>
                  <w:noWrap/>
                  <w:vAlign w:val="bottom"/>
                  <w:hideMark/>
                </w:tcPr>
                <w:p w:rsidR="00EA1557" w:rsidRDefault="00EA1557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April 1</w:t>
                  </w:r>
                  <w:r w:rsid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 w:rsidR="00DC2600" w:rsidRPr="00EA1557" w:rsidRDefault="00DC2600" w:rsidP="00DC260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April 25</w:t>
                  </w:r>
                  <w:r w:rsidRPr="00DC2600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Last possible day for exams</w:t>
                  </w:r>
                </w:p>
              </w:tc>
              <w:tc>
                <w:tcPr>
                  <w:tcW w:w="9266" w:type="dxa"/>
                  <w:shd w:val="clear" w:color="auto" w:fill="auto"/>
                  <w:vAlign w:val="bottom"/>
                  <w:hideMark/>
                </w:tcPr>
                <w:p w:rsidR="00EA1557" w:rsidRPr="00EA1557" w:rsidRDefault="00EA1557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EA1557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Final Exam </w:t>
                  </w:r>
                  <w:r w:rsid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(30%)</w:t>
                  </w:r>
                </w:p>
              </w:tc>
            </w:tr>
          </w:tbl>
          <w:p w:rsidR="0024102C" w:rsidRPr="001109AE" w:rsidRDefault="0024102C" w:rsidP="00807C0E">
            <w:pPr>
              <w:tabs>
                <w:tab w:val="left" w:pos="-1440"/>
              </w:tabs>
              <w:ind w:left="1440" w:hanging="14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F3B0F" w:rsidRPr="001109AE" w:rsidRDefault="003F3B0F" w:rsidP="00807C0E">
            <w:pPr>
              <w:tabs>
                <w:tab w:val="left" w:pos="-1440"/>
              </w:tabs>
              <w:ind w:left="1440" w:hanging="14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blPrEx>
          <w:tblCellSpacing w:w="0" w:type="nil"/>
        </w:tblPrEx>
        <w:tc>
          <w:tcPr>
            <w:tcW w:w="31740" w:type="dxa"/>
            <w:gridSpan w:val="10"/>
            <w:shd w:val="clear" w:color="auto" w:fill="EEF7F7"/>
            <w:hideMark/>
          </w:tcPr>
          <w:p w:rsidR="00F51701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Credit Value</w:t>
            </w:r>
          </w:p>
        </w:tc>
      </w:tr>
      <w:tr w:rsidR="00F51701" w:rsidRPr="001109AE" w:rsidTr="00093536">
        <w:tblPrEx>
          <w:tblCellSpacing w:w="0" w:type="nil"/>
        </w:tblPrEx>
        <w:trPr>
          <w:trHeight w:val="390"/>
        </w:trPr>
        <w:tc>
          <w:tcPr>
            <w:tcW w:w="456" w:type="dxa"/>
            <w:gridSpan w:val="2"/>
            <w:shd w:val="clear" w:color="auto" w:fill="FFFFFF"/>
            <w:hideMark/>
          </w:tcPr>
          <w:p w:rsidR="00F51701" w:rsidRPr="001109AE" w:rsidRDefault="00F51701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84" w:type="dxa"/>
            <w:gridSpan w:val="8"/>
            <w:shd w:val="clear" w:color="auto" w:fill="FFFFFF"/>
            <w:hideMark/>
          </w:tcPr>
          <w:p w:rsidR="00E47202" w:rsidRPr="001109AE" w:rsidRDefault="00A23180" w:rsidP="00807C0E">
            <w:pPr>
              <w:tabs>
                <w:tab w:val="left" w:pos="-1440"/>
              </w:tabs>
              <w:ind w:left="1440" w:hanging="14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This course has a value of </w:t>
            </w:r>
            <w:r w:rsidR="00307C59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four </w:t>
            </w:r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(</w:t>
            </w:r>
            <w:r w:rsidR="00307C59"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</w:t>
            </w:r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credits.</w:t>
            </w:r>
          </w:p>
          <w:p w:rsidR="00864A3E" w:rsidRPr="001109AE" w:rsidRDefault="00864A3E" w:rsidP="00807C0E">
            <w:pPr>
              <w:spacing w:after="24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51701" w:rsidRPr="001109AE" w:rsidTr="00DC2600">
        <w:tblPrEx>
          <w:tblCellSpacing w:w="0" w:type="nil"/>
        </w:tblPrEx>
        <w:tc>
          <w:tcPr>
            <w:tcW w:w="31740" w:type="dxa"/>
            <w:gridSpan w:val="10"/>
            <w:shd w:val="clear" w:color="auto" w:fill="EEF7F7"/>
            <w:hideMark/>
          </w:tcPr>
          <w:p w:rsidR="00F51701" w:rsidRPr="001109AE" w:rsidRDefault="00F51701" w:rsidP="00807C0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EF065D" w:rsidRPr="001109AE" w:rsidTr="00DC2600">
        <w:tblPrEx>
          <w:tblCellSpacing w:w="0" w:type="nil"/>
        </w:tblPrEx>
        <w:tc>
          <w:tcPr>
            <w:tcW w:w="31740" w:type="dxa"/>
            <w:gridSpan w:val="10"/>
            <w:shd w:val="clear" w:color="auto" w:fill="EEF7F7"/>
            <w:hideMark/>
          </w:tcPr>
          <w:p w:rsidR="00EF065D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Required Text(s)</w:t>
            </w:r>
            <w:r w:rsidR="004977C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&amp; Resources</w:t>
            </w:r>
          </w:p>
        </w:tc>
      </w:tr>
      <w:tr w:rsidR="00A23180" w:rsidRPr="001109AE" w:rsidTr="00093536">
        <w:tblPrEx>
          <w:tblCellSpacing w:w="0" w:type="nil"/>
        </w:tblPrEx>
        <w:tc>
          <w:tcPr>
            <w:tcW w:w="456" w:type="dxa"/>
            <w:gridSpan w:val="2"/>
            <w:shd w:val="clear" w:color="auto" w:fill="FFFFFF"/>
            <w:hideMark/>
          </w:tcPr>
          <w:p w:rsidR="00A23180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23180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A23180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84" w:type="dxa"/>
            <w:gridSpan w:val="8"/>
            <w:shd w:val="clear" w:color="auto" w:fill="FFFFFF"/>
            <w:hideMark/>
          </w:tcPr>
          <w:p w:rsidR="00A23180" w:rsidRPr="001109AE" w:rsidRDefault="00A23180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307C59" w:rsidRPr="001109AE" w:rsidRDefault="00435FFD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Filsinger</w:t>
            </w:r>
            <w:proofErr w:type="spellEnd"/>
            <w:r w:rsidRPr="001109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 K.J., Employment Law for Business and Human Resources Professionals,  2005</w:t>
            </w:r>
          </w:p>
          <w:p w:rsidR="00475842" w:rsidRPr="001109AE" w:rsidRDefault="00475842" w:rsidP="00807C0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475842" w:rsidRPr="001109AE" w:rsidRDefault="00475842" w:rsidP="00807C0E">
            <w:pPr>
              <w:spacing w:after="0" w:line="240" w:lineRule="auto"/>
              <w:rPr>
                <w:rFonts w:ascii="Arial" w:eastAsia="Times New Roman" w:hAnsi="Arial" w:cs="Arial"/>
                <w:color w:val="4F81BD" w:themeColor="accen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color w:val="4F81BD" w:themeColor="accent1"/>
                <w:sz w:val="20"/>
                <w:szCs w:val="20"/>
              </w:rPr>
              <w:t>Available Online:</w:t>
            </w:r>
          </w:p>
          <w:p w:rsidR="001109AE" w:rsidRPr="001109AE" w:rsidRDefault="001109AE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</w:p>
          <w:p w:rsidR="001109AE" w:rsidRPr="001109AE" w:rsidRDefault="001109AE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1109AE" w:rsidRPr="001109AE" w:rsidRDefault="001109AE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bookmarkStart w:id="1" w:name="tphp"/>
            <w:r>
              <w:rPr>
                <w:rFonts w:ascii="Verdana" w:hAnsi="Verdana"/>
                <w:noProof/>
                <w:color w:val="000000"/>
                <w:sz w:val="19"/>
                <w:szCs w:val="19"/>
              </w:rPr>
              <w:drawing>
                <wp:inline distT="0" distB="0" distL="0" distR="0" wp14:anchorId="0F3FE2D2" wp14:editId="20ED5B92">
                  <wp:extent cx="400050" cy="190500"/>
                  <wp:effectExtent l="19050" t="0" r="0" b="0"/>
                  <wp:docPr id="51" name="Picture 51" descr="Human Resources and Social Development Ca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uman Resources and Social Development Ca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87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Federal </w:t>
            </w:r>
            <w:proofErr w:type="spellStart"/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Labour</w:t>
            </w:r>
            <w:proofErr w:type="spellEnd"/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 Relations (</w:t>
            </w:r>
            <w:hyperlink r:id="rId10" w:history="1">
              <w:r w:rsidRPr="001109AE">
                <w:rPr>
                  <w:rStyle w:val="Hyperlink"/>
                  <w:rFonts w:ascii="Arial" w:eastAsia="Times New Roman" w:hAnsi="Arial" w:cs="Arial"/>
                  <w:b/>
                  <w:sz w:val="20"/>
                  <w:szCs w:val="20"/>
                  <w:bdr w:val="none" w:sz="0" w:space="0" w:color="auto"/>
                  <w:shd w:val="clear" w:color="auto" w:fill="auto"/>
                </w:rPr>
                <w:t>www.canada.gc.ca</w:t>
              </w:r>
            </w:hyperlink>
            <w:r w:rsidRPr="001109A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  <w:p w:rsidR="001109AE" w:rsidRPr="001109AE" w:rsidRDefault="001109AE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1109AE" w:rsidRPr="001109AE" w:rsidRDefault="001109AE" w:rsidP="00807C0E">
            <w:pPr>
              <w:pStyle w:val="Heading2"/>
              <w:ind w:left="1800"/>
              <w:rPr>
                <w:rFonts w:ascii="Arial" w:hAnsi="Arial" w:cs="Arial"/>
                <w:sz w:val="20"/>
                <w:szCs w:val="20"/>
              </w:rPr>
            </w:pPr>
            <w:r w:rsidRPr="001109AE">
              <w:rPr>
                <w:rFonts w:ascii="Arial" w:hAnsi="Arial" w:cs="Arial"/>
                <w:sz w:val="20"/>
                <w:szCs w:val="20"/>
              </w:rPr>
              <w:t>Industrial Relations</w:t>
            </w:r>
          </w:p>
          <w:p w:rsidR="001109AE" w:rsidRPr="001109AE" w:rsidRDefault="00C84351" w:rsidP="00807C0E">
            <w:pPr>
              <w:numPr>
                <w:ilvl w:val="0"/>
                <w:numId w:val="44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1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Industrial Relations Legislation in Canada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4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2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Canada </w:t>
              </w:r>
              <w:proofErr w:type="spellStart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Labour</w:t>
              </w:r>
              <w:proofErr w:type="spellEnd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 Code, Part I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1109AE" w:rsidP="00807C0E">
            <w:pPr>
              <w:pStyle w:val="Heading2"/>
              <w:ind w:left="1800"/>
              <w:rPr>
                <w:rFonts w:ascii="Arial" w:hAnsi="Arial" w:cs="Arial"/>
                <w:color w:val="013567"/>
                <w:sz w:val="20"/>
                <w:szCs w:val="20"/>
              </w:rPr>
            </w:pPr>
            <w:r w:rsidRPr="001109AE">
              <w:rPr>
                <w:rFonts w:ascii="Arial" w:hAnsi="Arial" w:cs="Arial"/>
                <w:sz w:val="20"/>
                <w:szCs w:val="20"/>
              </w:rPr>
              <w:lastRenderedPageBreak/>
              <w:t>Workplace Health and Safety</w:t>
            </w:r>
          </w:p>
          <w:p w:rsidR="001109AE" w:rsidRPr="001109AE" w:rsidRDefault="00C84351" w:rsidP="00807C0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3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Occupational Health and Safety (Reports on Canadian Laws)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4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Canada </w:t>
              </w:r>
              <w:proofErr w:type="spellStart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Labour</w:t>
              </w:r>
              <w:proofErr w:type="spellEnd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 Code, Part II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5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Acts, Exclusions and Regulations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6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Regulations Amending the Canada Occupational Health and Safety Regulations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1109AE" w:rsidP="00807C0E">
            <w:pPr>
              <w:pStyle w:val="Heading2"/>
              <w:ind w:left="1800"/>
              <w:rPr>
                <w:rFonts w:ascii="Arial" w:hAnsi="Arial" w:cs="Arial"/>
                <w:color w:val="013567"/>
                <w:sz w:val="20"/>
                <w:szCs w:val="20"/>
              </w:rPr>
            </w:pPr>
            <w:r w:rsidRPr="001109AE">
              <w:rPr>
                <w:rFonts w:ascii="Arial" w:hAnsi="Arial" w:cs="Arial"/>
                <w:sz w:val="20"/>
                <w:szCs w:val="20"/>
              </w:rPr>
              <w:t>Employment Standards</w:t>
            </w:r>
          </w:p>
          <w:p w:rsidR="001109AE" w:rsidRPr="001109AE" w:rsidRDefault="00C84351" w:rsidP="00807C0E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7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Employment Standards Legislation in Canada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8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Canada </w:t>
              </w:r>
              <w:proofErr w:type="spellStart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Labour</w:t>
              </w:r>
              <w:proofErr w:type="spellEnd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 Code, Part III and Regulations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9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Whistleblower Protection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1109AE" w:rsidP="00807C0E">
            <w:pPr>
              <w:pStyle w:val="Heading2"/>
              <w:ind w:left="1800"/>
              <w:rPr>
                <w:rFonts w:ascii="Arial" w:hAnsi="Arial" w:cs="Arial"/>
                <w:color w:val="013567"/>
                <w:sz w:val="20"/>
                <w:szCs w:val="20"/>
              </w:rPr>
            </w:pPr>
            <w:r w:rsidRPr="001109AE">
              <w:rPr>
                <w:rFonts w:ascii="Arial" w:hAnsi="Arial" w:cs="Arial"/>
                <w:sz w:val="20"/>
                <w:szCs w:val="20"/>
              </w:rPr>
              <w:t>Additional Information</w:t>
            </w:r>
          </w:p>
          <w:p w:rsidR="001109AE" w:rsidRPr="001109AE" w:rsidRDefault="00C84351" w:rsidP="00807C0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0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Developments in </w:t>
              </w:r>
              <w:proofErr w:type="spellStart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Labour</w:t>
              </w:r>
              <w:proofErr w:type="spellEnd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 Legislation in Canada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100" w:afterAutospacing="1" w:line="240" w:lineRule="auto"/>
              <w:ind w:left="25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1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Employment Equity Legislation and Agreements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109AE" w:rsidRPr="001109AE" w:rsidRDefault="00C84351" w:rsidP="00807C0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0" w:afterAutospacing="1" w:line="240" w:lineRule="auto"/>
              <w:ind w:left="25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hyperlink r:id="rId22" w:history="1"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Canadian Association of Administrators of </w:t>
              </w:r>
              <w:proofErr w:type="spellStart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>Labour</w:t>
              </w:r>
              <w:proofErr w:type="spellEnd"/>
              <w:r w:rsidR="001109AE" w:rsidRPr="001109AE">
                <w:rPr>
                  <w:rFonts w:ascii="Arial" w:hAnsi="Arial" w:cs="Arial"/>
                  <w:color w:val="003463"/>
                  <w:sz w:val="20"/>
                  <w:szCs w:val="20"/>
                  <w:u w:val="single"/>
                </w:rPr>
                <w:t xml:space="preserve"> Legislation (CAALL)</w:t>
              </w:r>
            </w:hyperlink>
            <w:r w:rsidR="001109AE" w:rsidRPr="001109AE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  <w:p w:rsidR="00475842" w:rsidRPr="001109AE" w:rsidRDefault="001109AE" w:rsidP="00807C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4CDEBC3E" wp14:editId="17E865F3">
                  <wp:extent cx="704850" cy="408813"/>
                  <wp:effectExtent l="19050" t="0" r="0" b="0"/>
                  <wp:docPr id="54" name="Picture 54" descr="http://www.gov.nl.ca/images/newimages/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gov.nl.ca/images/newimages/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8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      </w:t>
            </w:r>
            <w:r w:rsidR="00475842" w:rsidRPr="001109AE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 xml:space="preserve">Provincial </w:t>
            </w:r>
            <w:proofErr w:type="spellStart"/>
            <w:r w:rsidR="00475842" w:rsidRPr="001109AE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>Labour</w:t>
            </w:r>
            <w:proofErr w:type="spellEnd"/>
            <w:r w:rsidR="00475842" w:rsidRPr="001109AE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 xml:space="preserve"> Relations</w:t>
            </w:r>
            <w:r w:rsidRPr="001109AE">
              <w:rPr>
                <w:rFonts w:ascii="Arial" w:eastAsia="Times New Roman" w:hAnsi="Arial" w:cs="Arial"/>
                <w:b/>
                <w:color w:val="4F81BD" w:themeColor="accent1"/>
                <w:sz w:val="20"/>
                <w:szCs w:val="20"/>
              </w:rPr>
              <w:t xml:space="preserve"> (www.gov.nl.ca)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24" w:history="1">
              <w:proofErr w:type="spellStart"/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Labour</w:t>
              </w:r>
              <w:proofErr w:type="spellEnd"/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 xml:space="preserve"> Relations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and </w:t>
            </w:r>
            <w:hyperlink r:id="rId25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Regulations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26" w:history="1">
              <w:proofErr w:type="spellStart"/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Labour</w:t>
              </w:r>
              <w:proofErr w:type="spellEnd"/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 xml:space="preserve"> Standards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and </w:t>
            </w:r>
            <w:hyperlink r:id="rId27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Regulations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28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Shops Closing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and </w:t>
            </w:r>
            <w:hyperlink r:id="rId29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Regulations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30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Public Service Collective Bargaining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31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Fishing Industry Collective Bargaining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and </w:t>
            </w:r>
            <w:hyperlink r:id="rId32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Regulations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33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Teachers' Collective Bargaining Act</w:t>
              </w:r>
            </w:hyperlink>
            <w:r w:rsidR="00475842" w:rsidRPr="001109A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75842" w:rsidRPr="001109AE" w:rsidRDefault="00C84351" w:rsidP="00807C0E">
            <w:pPr>
              <w:numPr>
                <w:ilvl w:val="0"/>
                <w:numId w:val="48"/>
              </w:numPr>
              <w:spacing w:before="100" w:beforeAutospacing="1" w:after="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</w:rPr>
            </w:pPr>
            <w:hyperlink r:id="rId34" w:history="1">
              <w:r w:rsidR="00475842" w:rsidRPr="001109AE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single"/>
                </w:rPr>
                <w:t>Interns and Residents Collective Bargaining Act</w:t>
              </w:r>
            </w:hyperlink>
          </w:p>
          <w:p w:rsidR="00475842" w:rsidRPr="001109AE" w:rsidRDefault="001109AE" w:rsidP="00807C0E">
            <w:pPr>
              <w:spacing w:before="100" w:beforeAutospacing="1" w:after="0" w:afterAutospacing="1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09AE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1109A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99BE36F" wp14:editId="7C70F016">
                  <wp:extent cx="704850" cy="408813"/>
                  <wp:effectExtent l="19050" t="0" r="0" b="0"/>
                  <wp:docPr id="6" name="Picture 54" descr="http://www.gov.nl.ca/images/newimages/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gov.nl.ca/images/newimages/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8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475842" w:rsidRPr="001109A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Provincial Human Rights</w:t>
            </w:r>
            <w:r w:rsidRPr="001109AE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 xml:space="preserve"> (www.gov.nl.ca)</w:t>
            </w:r>
          </w:p>
          <w:tbl>
            <w:tblPr>
              <w:tblW w:w="3168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17487"/>
              <w:gridCol w:w="165"/>
              <w:gridCol w:w="66"/>
              <w:gridCol w:w="66"/>
              <w:gridCol w:w="30"/>
              <w:gridCol w:w="12599"/>
            </w:tblGrid>
            <w:tr w:rsidR="00475842" w:rsidRPr="001109AE" w:rsidTr="00615485">
              <w:trPr>
                <w:gridBefore w:val="1"/>
                <w:gridAfter w:val="5"/>
                <w:wBefore w:w="1222" w:type="dxa"/>
                <w:wAfter w:w="12881" w:type="dxa"/>
                <w:trHeight w:val="120"/>
                <w:tblCellSpacing w:w="15" w:type="dxa"/>
              </w:trPr>
              <w:tc>
                <w:tcPr>
                  <w:tcW w:w="174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C84351" w:rsidP="00807C0E">
                  <w:pPr>
                    <w:pStyle w:val="ListParagraph"/>
                    <w:numPr>
                      <w:ilvl w:val="0"/>
                      <w:numId w:val="43"/>
                    </w:numPr>
                    <w:tabs>
                      <w:tab w:val="clear" w:pos="2160"/>
                      <w:tab w:val="num" w:pos="2030"/>
                    </w:tabs>
                    <w:spacing w:line="120" w:lineRule="atLeast"/>
                    <w:ind w:left="2030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  <w:u w:val="single"/>
                    </w:rPr>
                  </w:pPr>
                  <w:hyperlink r:id="rId35" w:history="1">
                    <w:proofErr w:type="spellStart"/>
                    <w:r w:rsidR="00475842" w:rsidRPr="001109AE">
                      <w:rPr>
                        <w:rStyle w:val="Hyperlink"/>
                        <w:rFonts w:ascii="Arial" w:eastAsia="Times New Roman" w:hAnsi="Arial" w:cs="Arial"/>
                        <w:color w:val="000000" w:themeColor="text1"/>
                        <w:sz w:val="20"/>
                        <w:szCs w:val="20"/>
                        <w:u w:val="single"/>
                        <w:bdr w:val="none" w:sz="0" w:space="0" w:color="auto"/>
                        <w:shd w:val="clear" w:color="auto" w:fill="auto"/>
                      </w:rPr>
                      <w:t>Labour</w:t>
                    </w:r>
                    <w:proofErr w:type="spellEnd"/>
                    <w:r w:rsidR="00475842" w:rsidRPr="001109AE">
                      <w:rPr>
                        <w:rStyle w:val="Hyperlink"/>
                        <w:rFonts w:ascii="Arial" w:eastAsia="Times New Roman" w:hAnsi="Arial" w:cs="Arial"/>
                        <w:color w:val="000000" w:themeColor="text1"/>
                        <w:sz w:val="20"/>
                        <w:szCs w:val="20"/>
                        <w:u w:val="single"/>
                        <w:bdr w:val="none" w:sz="0" w:space="0" w:color="auto"/>
                        <w:shd w:val="clear" w:color="auto" w:fill="auto"/>
                      </w:rPr>
                      <w:t xml:space="preserve"> Standards Frequently Asked Questions (FAQ's)</w:t>
                    </w:r>
                  </w:hyperlink>
                </w:p>
                <w:p w:rsidR="00475842" w:rsidRPr="001109AE" w:rsidRDefault="00C84351" w:rsidP="00807C0E">
                  <w:pPr>
                    <w:pStyle w:val="ListParagraph"/>
                    <w:numPr>
                      <w:ilvl w:val="0"/>
                      <w:numId w:val="43"/>
                    </w:numPr>
                    <w:tabs>
                      <w:tab w:val="clear" w:pos="2160"/>
                      <w:tab w:val="num" w:pos="2030"/>
                    </w:tabs>
                    <w:spacing w:line="120" w:lineRule="atLeast"/>
                    <w:ind w:left="203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u w:val="single"/>
                    </w:rPr>
                  </w:pPr>
                  <w:hyperlink r:id="rId36" w:history="1">
                    <w:r w:rsidR="00475842" w:rsidRPr="001109AE">
                      <w:rPr>
                        <w:rStyle w:val="Hyperlink"/>
                        <w:rFonts w:ascii="Arial" w:hAnsi="Arial" w:cs="Arial"/>
                        <w:color w:val="000000" w:themeColor="text1"/>
                        <w:sz w:val="20"/>
                        <w:szCs w:val="20"/>
                        <w:u w:val="single"/>
                      </w:rPr>
                      <w:t>The Human Rights Code</w:t>
                    </w:r>
                  </w:hyperlink>
                  <w:r w:rsidR="00475842" w:rsidRPr="001109A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475842" w:rsidRPr="001109AE" w:rsidRDefault="00C84351" w:rsidP="00807C0E">
                  <w:pPr>
                    <w:pStyle w:val="ListParagraph"/>
                    <w:numPr>
                      <w:ilvl w:val="0"/>
                      <w:numId w:val="43"/>
                    </w:numPr>
                    <w:tabs>
                      <w:tab w:val="clear" w:pos="2160"/>
                      <w:tab w:val="num" w:pos="2030"/>
                    </w:tabs>
                    <w:spacing w:line="120" w:lineRule="atLeast"/>
                    <w:ind w:left="203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u w:val="single"/>
                    </w:rPr>
                  </w:pPr>
                  <w:hyperlink r:id="rId37" w:history="1">
                    <w:r w:rsidR="00475842" w:rsidRPr="001109AE">
                      <w:rPr>
                        <w:rStyle w:val="Hyperlink"/>
                        <w:rFonts w:ascii="Arial" w:hAnsi="Arial" w:cs="Arial"/>
                        <w:color w:val="000000" w:themeColor="text1"/>
                        <w:sz w:val="20"/>
                        <w:szCs w:val="20"/>
                        <w:u w:val="single"/>
                      </w:rPr>
                      <w:t>Frequently Asked Questions</w:t>
                    </w:r>
                  </w:hyperlink>
                </w:p>
                <w:p w:rsidR="001109AE" w:rsidRPr="001109AE" w:rsidRDefault="00C84351" w:rsidP="00807C0E">
                  <w:pPr>
                    <w:pStyle w:val="ListParagraph"/>
                    <w:numPr>
                      <w:ilvl w:val="0"/>
                      <w:numId w:val="43"/>
                    </w:numPr>
                    <w:tabs>
                      <w:tab w:val="clear" w:pos="2160"/>
                      <w:tab w:val="num" w:pos="2030"/>
                    </w:tabs>
                    <w:spacing w:line="120" w:lineRule="atLeast"/>
                    <w:ind w:left="203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u w:val="single"/>
                    </w:rPr>
                  </w:pPr>
                  <w:hyperlink r:id="rId38" w:history="1">
                    <w:r w:rsidR="00475842" w:rsidRPr="001109AE">
                      <w:rPr>
                        <w:rStyle w:val="Hyperlink"/>
                        <w:rFonts w:ascii="Arial" w:hAnsi="Arial" w:cs="Arial"/>
                        <w:color w:val="000000" w:themeColor="text1"/>
                        <w:sz w:val="20"/>
                        <w:szCs w:val="20"/>
                        <w:u w:val="single"/>
                      </w:rPr>
                      <w:t>Publications</w:t>
                    </w:r>
                  </w:hyperlink>
                </w:p>
                <w:p w:rsidR="00475842" w:rsidRPr="001109AE" w:rsidRDefault="00475842" w:rsidP="00807C0E">
                  <w:pPr>
                    <w:pStyle w:val="ListParagraph"/>
                    <w:spacing w:line="120" w:lineRule="atLeast"/>
                    <w:ind w:left="16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75842" w:rsidRPr="001109AE" w:rsidTr="00615485">
              <w:trPr>
                <w:gridBefore w:val="1"/>
                <w:gridAfter w:val="2"/>
                <w:wBefore w:w="1222" w:type="dxa"/>
                <w:wAfter w:w="12584" w:type="dxa"/>
                <w:tblCellSpacing w:w="15" w:type="dxa"/>
              </w:trPr>
              <w:tc>
                <w:tcPr>
                  <w:tcW w:w="174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pStyle w:val="Normal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pStyle w:val="Normal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75842" w:rsidRPr="001109AE" w:rsidTr="00615485">
              <w:trPr>
                <w:gridBefore w:val="1"/>
                <w:gridAfter w:val="2"/>
                <w:wBefore w:w="1222" w:type="dxa"/>
                <w:wAfter w:w="12584" w:type="dxa"/>
                <w:tblCellSpacing w:w="15" w:type="dxa"/>
              </w:trPr>
              <w:tc>
                <w:tcPr>
                  <w:tcW w:w="174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pStyle w:val="Normal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pStyle w:val="NormalWeb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75842" w:rsidRPr="001109AE" w:rsidRDefault="00475842" w:rsidP="00807C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07C0E" w:rsidRPr="001109AE" w:rsidTr="00807C0E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31620" w:type="dxa"/>
                  <w:gridSpan w:val="7"/>
                  <w:shd w:val="clear" w:color="auto" w:fill="EEF7F7"/>
                  <w:hideMark/>
                </w:tcPr>
                <w:p w:rsidR="00807C0E" w:rsidRPr="001109AE" w:rsidRDefault="00807C0E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1109A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Evaluation</w:t>
                  </w:r>
                </w:p>
              </w:tc>
            </w:tr>
            <w:tr w:rsidR="00807C0E" w:rsidRPr="001109AE" w:rsidTr="00615485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gridAfter w:val="1"/>
                <w:wAfter w:w="12554" w:type="dxa"/>
              </w:trPr>
              <w:tc>
                <w:tcPr>
                  <w:tcW w:w="19036" w:type="dxa"/>
                  <w:gridSpan w:val="6"/>
                  <w:shd w:val="clear" w:color="auto" w:fill="FFFFFF"/>
                  <w:hideMark/>
                </w:tcPr>
                <w:p w:rsidR="00807C0E" w:rsidRPr="00807C0E" w:rsidRDefault="00807C0E" w:rsidP="00807C0E">
                  <w:pPr>
                    <w:pStyle w:val="ListParagraph"/>
                    <w:numPr>
                      <w:ilvl w:val="0"/>
                      <w:numId w:val="34"/>
                    </w:num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Midterm 1 @ </w:t>
                  </w:r>
                  <w:r w:rsidR="009034A0">
                    <w:rPr>
                      <w:rFonts w:ascii="Arial" w:eastAsia="Times New Roman" w:hAnsi="Arial" w:cs="Arial"/>
                      <w:sz w:val="20"/>
                      <w:szCs w:val="20"/>
                    </w:rPr>
                    <w:t>15</w:t>
                  </w: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>%</w:t>
                  </w:r>
                  <w:r w:rsidR="009034A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(Components of Canadian Labour Law)</w:t>
                  </w:r>
                </w:p>
                <w:p w:rsidR="00807C0E" w:rsidRPr="00807C0E" w:rsidRDefault="00807C0E" w:rsidP="00807C0E">
                  <w:pPr>
                    <w:pStyle w:val="ListParagraph"/>
                    <w:numPr>
                      <w:ilvl w:val="0"/>
                      <w:numId w:val="34"/>
                    </w:num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Midterm 2 @ </w:t>
                  </w:r>
                  <w:r w:rsidR="009034A0">
                    <w:rPr>
                      <w:rFonts w:ascii="Arial" w:eastAsia="Times New Roman" w:hAnsi="Arial" w:cs="Arial"/>
                      <w:sz w:val="20"/>
                      <w:szCs w:val="20"/>
                    </w:rPr>
                    <w:t>15</w:t>
                  </w: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>%</w:t>
                  </w:r>
                  <w:r w:rsidR="009034A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(Employment Law)</w:t>
                  </w:r>
                </w:p>
                <w:p w:rsidR="00807C0E" w:rsidRDefault="00807C0E" w:rsidP="00807C0E">
                  <w:pPr>
                    <w:pStyle w:val="ListParagraph"/>
                    <w:numPr>
                      <w:ilvl w:val="0"/>
                      <w:numId w:val="34"/>
                    </w:num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</w:t>
                  </w: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Case Presentations @ 10%</w:t>
                  </w:r>
                  <w:r w:rsidR="0061548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each</w:t>
                  </w:r>
                  <w:r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615485" w:rsidRPr="00807C0E" w:rsidRDefault="00615485" w:rsidP="00807C0E">
                  <w:pPr>
                    <w:pStyle w:val="ListParagraph"/>
                    <w:numPr>
                      <w:ilvl w:val="0"/>
                      <w:numId w:val="34"/>
                    </w:num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Research Paper and Presentation @ 20%</w:t>
                  </w:r>
                </w:p>
                <w:p w:rsidR="00807C0E" w:rsidRPr="00807C0E" w:rsidRDefault="009034A0" w:rsidP="00807C0E">
                  <w:pPr>
                    <w:pStyle w:val="ListParagraph"/>
                    <w:numPr>
                      <w:ilvl w:val="0"/>
                      <w:numId w:val="34"/>
                    </w:num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Final (Labour Law) @ 3</w:t>
                  </w:r>
                  <w:r w:rsidR="00807C0E" w:rsidRPr="00807C0E">
                    <w:rPr>
                      <w:rFonts w:ascii="Arial" w:eastAsia="Times New Roman" w:hAnsi="Arial" w:cs="Arial"/>
                      <w:sz w:val="20"/>
                      <w:szCs w:val="20"/>
                    </w:rPr>
                    <w:t>0%</w:t>
                  </w:r>
                </w:p>
                <w:p w:rsidR="00807C0E" w:rsidRPr="001109AE" w:rsidRDefault="00807C0E" w:rsidP="00807C0E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07C0E" w:rsidRPr="001109AE" w:rsidTr="00807C0E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31620" w:type="dxa"/>
                  <w:gridSpan w:val="7"/>
                  <w:shd w:val="clear" w:color="auto" w:fill="EEF7F7"/>
                  <w:hideMark/>
                </w:tcPr>
                <w:p w:rsidR="00807C0E" w:rsidRPr="001109AE" w:rsidRDefault="00807C0E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1109AE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Case Presentations @ 10%</w:t>
                  </w:r>
                  <w:r w:rsidR="00615485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each</w:t>
                  </w:r>
                </w:p>
              </w:tc>
            </w:tr>
            <w:tr w:rsidR="00807C0E" w:rsidRPr="001109AE" w:rsidTr="00615485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gridAfter w:val="1"/>
                <w:wAfter w:w="12554" w:type="dxa"/>
                <w:trHeight w:val="408"/>
              </w:trPr>
              <w:tc>
                <w:tcPr>
                  <w:tcW w:w="19036" w:type="dxa"/>
                  <w:gridSpan w:val="6"/>
                  <w:shd w:val="clear" w:color="auto" w:fill="FFFFFF"/>
                  <w:hideMark/>
                </w:tcPr>
                <w:p w:rsidR="00807C0E" w:rsidRDefault="00807C0E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1109AE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You will be assigned two cases</w:t>
                  </w:r>
                  <w:r w:rsidR="00615485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 that can be worked on in groups of no more than three</w:t>
                  </w:r>
                  <w:r w:rsidRPr="001109AE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.  Your job is to assess the case and present your findings both in writing and to the class.</w:t>
                  </w:r>
                </w:p>
                <w:p w:rsidR="00807C0E" w:rsidRDefault="00807C0E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615485" w:rsidRPr="001109AE" w:rsidRDefault="00615485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615485" w:rsidRPr="001109AE" w:rsidTr="00807C0E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31620" w:type="dxa"/>
                  <w:gridSpan w:val="7"/>
                  <w:shd w:val="clear" w:color="auto" w:fill="EEF7F7"/>
                  <w:hideMark/>
                </w:tcPr>
                <w:p w:rsidR="00615485" w:rsidRPr="001109AE" w:rsidRDefault="00615485" w:rsidP="0061548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Research Project</w:t>
                  </w:r>
                  <w:r w:rsidRPr="001109AE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@ </w:t>
                  </w: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15</w:t>
                  </w:r>
                  <w:r w:rsidRPr="001109AE"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%</w:t>
                  </w: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  <w:t>Presentation @ 5%</w:t>
                  </w:r>
                </w:p>
              </w:tc>
            </w:tr>
            <w:tr w:rsidR="00615485" w:rsidRPr="001109AE" w:rsidTr="00615485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gridAfter w:val="1"/>
                <w:wAfter w:w="12554" w:type="dxa"/>
              </w:trPr>
              <w:tc>
                <w:tcPr>
                  <w:tcW w:w="19036" w:type="dxa"/>
                  <w:gridSpan w:val="6"/>
                  <w:shd w:val="clear" w:color="auto" w:fill="FFFFFF"/>
                  <w:hideMark/>
                </w:tcPr>
                <w:p w:rsidR="002C64A4" w:rsidRDefault="00615485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1109AE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You </w:t>
                  </w: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will conduct a research project </w:t>
                  </w: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that can be worked on in groups of no more than three</w:t>
                  </w:r>
                  <w:r w:rsidRPr="001109AE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. </w:t>
                  </w:r>
                </w:p>
                <w:p w:rsidR="002C64A4" w:rsidRDefault="002C64A4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C64A4" w:rsidRDefault="002C64A4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The Project will involve you researching and presenting your findings on one of the following topics:</w:t>
                  </w:r>
                </w:p>
                <w:p w:rsidR="002C64A4" w:rsidRDefault="002C64A4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2C64A4" w:rsidRPr="00093536" w:rsidRDefault="002C64A4" w:rsidP="00093536">
                  <w:pPr>
                    <w:pStyle w:val="ListParagraph"/>
                    <w:numPr>
                      <w:ilvl w:val="0"/>
                      <w:numId w:val="49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093536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Unionization of Retail in Canada</w:t>
                  </w:r>
                </w:p>
                <w:p w:rsidR="002C64A4" w:rsidRPr="00093536" w:rsidRDefault="002C64A4" w:rsidP="00093536">
                  <w:pPr>
                    <w:pStyle w:val="ListParagraph"/>
                    <w:numPr>
                      <w:ilvl w:val="0"/>
                      <w:numId w:val="49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093536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 xml:space="preserve">Unionization and the Oil Industry in NL </w:t>
                  </w:r>
                </w:p>
                <w:p w:rsidR="00093536" w:rsidRPr="00093536" w:rsidRDefault="00093536" w:rsidP="00093536">
                  <w:pPr>
                    <w:pStyle w:val="ListParagraph"/>
                    <w:numPr>
                      <w:ilvl w:val="0"/>
                      <w:numId w:val="49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093536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A Handbook for Small Business in Labour Relations</w:t>
                  </w:r>
                </w:p>
                <w:p w:rsidR="00093536" w:rsidRPr="00093536" w:rsidRDefault="00093536" w:rsidP="00093536">
                  <w:pPr>
                    <w:pStyle w:val="ListParagraph"/>
                    <w:numPr>
                      <w:ilvl w:val="0"/>
                      <w:numId w:val="49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 w:rsidRPr="00093536"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Intellectual Property Law and the Labour Contract</w:t>
                  </w:r>
                </w:p>
                <w:p w:rsidR="00093536" w:rsidRDefault="00093536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093536" w:rsidRDefault="00093536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Your project must be a “substantial” document that demonstrates in-depth research and a higher level of analysis. (Approx. 10 pages)</w:t>
                  </w:r>
                </w:p>
                <w:p w:rsidR="00093536" w:rsidRDefault="00093536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093536" w:rsidRDefault="00093536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  <w:t>You will present your paper to the class.</w:t>
                  </w:r>
                </w:p>
                <w:p w:rsidR="00093536" w:rsidRDefault="00093536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615485" w:rsidRDefault="00615485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615485" w:rsidRPr="001109AE" w:rsidRDefault="00615485" w:rsidP="004339F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615485" w:rsidRPr="001109AE" w:rsidTr="00093536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31620" w:type="dxa"/>
                  <w:gridSpan w:val="7"/>
                  <w:shd w:val="clear" w:color="auto" w:fill="EEF7F7"/>
                </w:tcPr>
                <w:p w:rsidR="00615485" w:rsidRPr="001109AE" w:rsidRDefault="00615485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615485" w:rsidRPr="001109AE" w:rsidTr="00093536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31620" w:type="dxa"/>
                  <w:gridSpan w:val="7"/>
                  <w:shd w:val="clear" w:color="auto" w:fill="EEF7F7"/>
                </w:tcPr>
                <w:p w:rsidR="00615485" w:rsidRPr="001109AE" w:rsidRDefault="00615485" w:rsidP="00807C0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615485" w:rsidRPr="001109AE" w:rsidTr="00093536">
              <w:tblPrEx>
                <w:tblCellSpacing w:w="0" w:type="nil"/>
                <w:shd w:val="clear" w:color="auto" w:fill="FFFFFF"/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gridAfter w:val="1"/>
                <w:wAfter w:w="12554" w:type="dxa"/>
              </w:trPr>
              <w:tc>
                <w:tcPr>
                  <w:tcW w:w="19036" w:type="dxa"/>
                  <w:gridSpan w:val="6"/>
                  <w:shd w:val="clear" w:color="auto" w:fill="FFFFFF"/>
                </w:tcPr>
                <w:p w:rsidR="00615485" w:rsidRPr="001109AE" w:rsidRDefault="00615485" w:rsidP="00807C0E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07C0E" w:rsidRDefault="00807C0E" w:rsidP="00807C0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7C0E" w:rsidRDefault="00807C0E" w:rsidP="00807C0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75842" w:rsidRPr="001109AE" w:rsidRDefault="00475842" w:rsidP="0080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71DA" w:rsidRPr="000F71DA" w:rsidTr="00093536">
        <w:tblPrEx>
          <w:tblCellSpacing w:w="0" w:type="nil"/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0" w:type="dxa"/>
          <w:wAfter w:w="2941" w:type="dxa"/>
          <w:trHeight w:val="300"/>
        </w:trPr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1DA" w:rsidRPr="000F71DA" w:rsidRDefault="000F71DA" w:rsidP="00807C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8178F" w:rsidRPr="00A23180" w:rsidRDefault="00E8178F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E8178F" w:rsidRPr="00A23180" w:rsidSect="00307C59">
      <w:footerReference w:type="default" r:id="rId39"/>
      <w:pgSz w:w="15840" w:h="12240" w:orient="landscape"/>
      <w:pgMar w:top="108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51" w:rsidRDefault="00C84351" w:rsidP="0024102C">
      <w:pPr>
        <w:spacing w:after="0" w:line="240" w:lineRule="auto"/>
      </w:pPr>
      <w:r>
        <w:separator/>
      </w:r>
    </w:p>
  </w:endnote>
  <w:endnote w:type="continuationSeparator" w:id="0">
    <w:p w:rsidR="00C84351" w:rsidRDefault="00C84351" w:rsidP="00241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CF" w:rsidRDefault="004977C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noProof/>
      </w:rPr>
      <w:drawing>
        <wp:inline distT="0" distB="0" distL="0" distR="0">
          <wp:extent cx="215305" cy="295275"/>
          <wp:effectExtent l="19050" t="0" r="0" b="0"/>
          <wp:docPr id="1" name="Picture 0" descr="CN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858" cy="29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</w:rPr>
      <w:t xml:space="preserve">LW1210 – </w:t>
    </w:r>
    <w:proofErr w:type="spellStart"/>
    <w:r>
      <w:rPr>
        <w:rFonts w:ascii="Arial" w:hAnsi="Arial" w:cs="Arial"/>
        <w:sz w:val="16"/>
      </w:rPr>
      <w:t>labour</w:t>
    </w:r>
    <w:proofErr w:type="spellEnd"/>
    <w:r>
      <w:rPr>
        <w:rFonts w:ascii="Arial" w:hAnsi="Arial" w:cs="Arial"/>
        <w:sz w:val="16"/>
      </w:rPr>
      <w:t xml:space="preserve"> and Employment Law</w:t>
    </w:r>
    <w:r w:rsidRPr="0024102C">
      <w:rPr>
        <w:rFonts w:ascii="Arial" w:hAnsi="Arial" w:cs="Arial"/>
        <w:sz w:val="16"/>
      </w:rPr>
      <w:ptab w:relativeTo="margin" w:alignment="right" w:leader="none"/>
    </w:r>
    <w:r w:rsidRPr="0024102C">
      <w:rPr>
        <w:rFonts w:ascii="Arial" w:hAnsi="Arial" w:cs="Arial"/>
        <w:sz w:val="16"/>
      </w:rPr>
      <w:t xml:space="preserve">Page </w:t>
    </w:r>
    <w:r w:rsidR="00107849" w:rsidRPr="0024102C">
      <w:rPr>
        <w:rFonts w:ascii="Arial" w:hAnsi="Arial" w:cs="Arial"/>
        <w:sz w:val="16"/>
      </w:rPr>
      <w:fldChar w:fldCharType="begin"/>
    </w:r>
    <w:r w:rsidRPr="0024102C">
      <w:rPr>
        <w:rFonts w:ascii="Arial" w:hAnsi="Arial" w:cs="Arial"/>
        <w:sz w:val="16"/>
      </w:rPr>
      <w:instrText xml:space="preserve"> PAGE   \* MERGEFORMAT </w:instrText>
    </w:r>
    <w:r w:rsidR="00107849" w:rsidRPr="0024102C">
      <w:rPr>
        <w:rFonts w:ascii="Arial" w:hAnsi="Arial" w:cs="Arial"/>
        <w:sz w:val="16"/>
      </w:rPr>
      <w:fldChar w:fldCharType="separate"/>
    </w:r>
    <w:r w:rsidR="0047284F">
      <w:rPr>
        <w:rFonts w:ascii="Arial" w:hAnsi="Arial" w:cs="Arial"/>
        <w:noProof/>
        <w:sz w:val="16"/>
      </w:rPr>
      <w:t>1</w:t>
    </w:r>
    <w:r w:rsidR="00107849" w:rsidRPr="0024102C">
      <w:rPr>
        <w:rFonts w:ascii="Arial" w:hAnsi="Arial" w:cs="Arial"/>
        <w:sz w:val="16"/>
      </w:rPr>
      <w:fldChar w:fldCharType="end"/>
    </w:r>
  </w:p>
  <w:p w:rsidR="004977CF" w:rsidRDefault="004977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51" w:rsidRDefault="00C84351" w:rsidP="0024102C">
      <w:pPr>
        <w:spacing w:after="0" w:line="240" w:lineRule="auto"/>
      </w:pPr>
      <w:r>
        <w:separator/>
      </w:r>
    </w:p>
  </w:footnote>
  <w:footnote w:type="continuationSeparator" w:id="0">
    <w:p w:rsidR="00C84351" w:rsidRDefault="00C84351" w:rsidP="00241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8E4"/>
    <w:multiLevelType w:val="multilevel"/>
    <w:tmpl w:val="84D0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94B51"/>
    <w:multiLevelType w:val="multilevel"/>
    <w:tmpl w:val="36BAF36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</w:lvl>
    <w:lvl w:ilvl="2" w:tentative="1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entative="1">
      <w:start w:val="1"/>
      <w:numFmt w:val="decimal"/>
      <w:lvlText w:val="%5."/>
      <w:lvlJc w:val="left"/>
      <w:pPr>
        <w:tabs>
          <w:tab w:val="num" w:pos="4860"/>
        </w:tabs>
        <w:ind w:left="4860" w:hanging="360"/>
      </w:pPr>
    </w:lvl>
    <w:lvl w:ilvl="5" w:tentative="1">
      <w:start w:val="1"/>
      <w:numFmt w:val="decimal"/>
      <w:lvlText w:val="%6."/>
      <w:lvlJc w:val="left"/>
      <w:pPr>
        <w:tabs>
          <w:tab w:val="num" w:pos="5580"/>
        </w:tabs>
        <w:ind w:left="5580" w:hanging="360"/>
      </w:pPr>
    </w:lvl>
    <w:lvl w:ilvl="6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entative="1">
      <w:start w:val="1"/>
      <w:numFmt w:val="decimal"/>
      <w:lvlText w:val="%8."/>
      <w:lvlJc w:val="left"/>
      <w:pPr>
        <w:tabs>
          <w:tab w:val="num" w:pos="7020"/>
        </w:tabs>
        <w:ind w:left="7020" w:hanging="360"/>
      </w:pPr>
    </w:lvl>
    <w:lvl w:ilvl="8" w:tentative="1">
      <w:start w:val="1"/>
      <w:numFmt w:val="decimal"/>
      <w:lvlText w:val="%9."/>
      <w:lvlJc w:val="left"/>
      <w:pPr>
        <w:tabs>
          <w:tab w:val="num" w:pos="7740"/>
        </w:tabs>
        <w:ind w:left="7740" w:hanging="360"/>
      </w:pPr>
    </w:lvl>
  </w:abstractNum>
  <w:abstractNum w:abstractNumId="2">
    <w:nsid w:val="07E92A3E"/>
    <w:multiLevelType w:val="multilevel"/>
    <w:tmpl w:val="8842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F37E8"/>
    <w:multiLevelType w:val="multilevel"/>
    <w:tmpl w:val="D9D41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6842A1"/>
    <w:multiLevelType w:val="hybridMultilevel"/>
    <w:tmpl w:val="D27A3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32C0B"/>
    <w:multiLevelType w:val="multilevel"/>
    <w:tmpl w:val="9C9C9F5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6">
    <w:nsid w:val="103B5E80"/>
    <w:multiLevelType w:val="hybridMultilevel"/>
    <w:tmpl w:val="19C64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C72D0"/>
    <w:multiLevelType w:val="multilevel"/>
    <w:tmpl w:val="C9624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86E7F"/>
    <w:multiLevelType w:val="hybridMultilevel"/>
    <w:tmpl w:val="81949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F922FF"/>
    <w:multiLevelType w:val="multilevel"/>
    <w:tmpl w:val="AAE46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AA1D35"/>
    <w:multiLevelType w:val="hybridMultilevel"/>
    <w:tmpl w:val="6BA8A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AE5AF5"/>
    <w:multiLevelType w:val="multilevel"/>
    <w:tmpl w:val="66EE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3E6B41"/>
    <w:multiLevelType w:val="multilevel"/>
    <w:tmpl w:val="C404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6B4A40"/>
    <w:multiLevelType w:val="multilevel"/>
    <w:tmpl w:val="62327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DC4FBE"/>
    <w:multiLevelType w:val="multilevel"/>
    <w:tmpl w:val="EF04F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D278A8"/>
    <w:multiLevelType w:val="multilevel"/>
    <w:tmpl w:val="5508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A2144D"/>
    <w:multiLevelType w:val="multilevel"/>
    <w:tmpl w:val="2114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C076A3"/>
    <w:multiLevelType w:val="multilevel"/>
    <w:tmpl w:val="36BAF360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decimal"/>
      <w:lvlText w:val="%3."/>
      <w:lvlJc w:val="left"/>
      <w:pPr>
        <w:tabs>
          <w:tab w:val="num" w:pos="3780"/>
        </w:tabs>
        <w:ind w:left="3780" w:hanging="36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decimal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decimal"/>
      <w:lvlText w:val="%6."/>
      <w:lvlJc w:val="left"/>
      <w:pPr>
        <w:tabs>
          <w:tab w:val="num" w:pos="5940"/>
        </w:tabs>
        <w:ind w:left="5940" w:hanging="36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decimal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decimal"/>
      <w:lvlText w:val="%9."/>
      <w:lvlJc w:val="left"/>
      <w:pPr>
        <w:tabs>
          <w:tab w:val="num" w:pos="8100"/>
        </w:tabs>
        <w:ind w:left="8100" w:hanging="360"/>
      </w:pPr>
    </w:lvl>
  </w:abstractNum>
  <w:abstractNum w:abstractNumId="18">
    <w:nsid w:val="2A0E209E"/>
    <w:multiLevelType w:val="multilevel"/>
    <w:tmpl w:val="FD9E4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7F2ED1"/>
    <w:multiLevelType w:val="multilevel"/>
    <w:tmpl w:val="0ECE375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34414D9C"/>
    <w:multiLevelType w:val="hybridMultilevel"/>
    <w:tmpl w:val="1D804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D45E1"/>
    <w:multiLevelType w:val="multilevel"/>
    <w:tmpl w:val="1EA8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4E737C"/>
    <w:multiLevelType w:val="hybridMultilevel"/>
    <w:tmpl w:val="5F6E8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92118"/>
    <w:multiLevelType w:val="hybridMultilevel"/>
    <w:tmpl w:val="D27A3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30BCE"/>
    <w:multiLevelType w:val="hybridMultilevel"/>
    <w:tmpl w:val="36F84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B5D77"/>
    <w:multiLevelType w:val="multilevel"/>
    <w:tmpl w:val="F380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6C58CD"/>
    <w:multiLevelType w:val="multilevel"/>
    <w:tmpl w:val="DCCC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9423F8"/>
    <w:multiLevelType w:val="hybridMultilevel"/>
    <w:tmpl w:val="538EF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B1257"/>
    <w:multiLevelType w:val="multilevel"/>
    <w:tmpl w:val="8B1A1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BB0D32"/>
    <w:multiLevelType w:val="hybridMultilevel"/>
    <w:tmpl w:val="E842C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D7F78"/>
    <w:multiLevelType w:val="hybridMultilevel"/>
    <w:tmpl w:val="D9089D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A4437C"/>
    <w:multiLevelType w:val="hybridMultilevel"/>
    <w:tmpl w:val="38DCB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0E74F2"/>
    <w:multiLevelType w:val="multilevel"/>
    <w:tmpl w:val="637E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C60B35"/>
    <w:multiLevelType w:val="multilevel"/>
    <w:tmpl w:val="1ED4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F42D1A"/>
    <w:multiLevelType w:val="hybridMultilevel"/>
    <w:tmpl w:val="0A54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20DA3"/>
    <w:multiLevelType w:val="hybridMultilevel"/>
    <w:tmpl w:val="D4348E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0590C"/>
    <w:multiLevelType w:val="multilevel"/>
    <w:tmpl w:val="BDDE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C26307"/>
    <w:multiLevelType w:val="multilevel"/>
    <w:tmpl w:val="B4D0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02264C"/>
    <w:multiLevelType w:val="hybridMultilevel"/>
    <w:tmpl w:val="8EC24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151A94"/>
    <w:multiLevelType w:val="multilevel"/>
    <w:tmpl w:val="C694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E22693"/>
    <w:multiLevelType w:val="multilevel"/>
    <w:tmpl w:val="06DC8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335978"/>
    <w:multiLevelType w:val="multilevel"/>
    <w:tmpl w:val="4830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696F66"/>
    <w:multiLevelType w:val="multilevel"/>
    <w:tmpl w:val="DB28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7B7F6B"/>
    <w:multiLevelType w:val="multilevel"/>
    <w:tmpl w:val="1392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A96EDE"/>
    <w:multiLevelType w:val="multilevel"/>
    <w:tmpl w:val="2DCA1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6CA72F8"/>
    <w:multiLevelType w:val="multilevel"/>
    <w:tmpl w:val="B162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CE5860"/>
    <w:multiLevelType w:val="multilevel"/>
    <w:tmpl w:val="550A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2A004A"/>
    <w:multiLevelType w:val="hybridMultilevel"/>
    <w:tmpl w:val="888E5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D86A1F"/>
    <w:multiLevelType w:val="multilevel"/>
    <w:tmpl w:val="A0381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40"/>
  </w:num>
  <w:num w:numId="3">
    <w:abstractNumId w:val="44"/>
  </w:num>
  <w:num w:numId="4">
    <w:abstractNumId w:val="43"/>
  </w:num>
  <w:num w:numId="5">
    <w:abstractNumId w:val="13"/>
  </w:num>
  <w:num w:numId="6">
    <w:abstractNumId w:val="25"/>
  </w:num>
  <w:num w:numId="7">
    <w:abstractNumId w:val="3"/>
  </w:num>
  <w:num w:numId="8">
    <w:abstractNumId w:val="46"/>
  </w:num>
  <w:num w:numId="9">
    <w:abstractNumId w:val="37"/>
  </w:num>
  <w:num w:numId="10">
    <w:abstractNumId w:val="7"/>
  </w:num>
  <w:num w:numId="11">
    <w:abstractNumId w:val="18"/>
  </w:num>
  <w:num w:numId="12">
    <w:abstractNumId w:val="16"/>
  </w:num>
  <w:num w:numId="13">
    <w:abstractNumId w:val="24"/>
  </w:num>
  <w:num w:numId="14">
    <w:abstractNumId w:val="15"/>
  </w:num>
  <w:num w:numId="15">
    <w:abstractNumId w:val="12"/>
  </w:num>
  <w:num w:numId="16">
    <w:abstractNumId w:val="33"/>
  </w:num>
  <w:num w:numId="17">
    <w:abstractNumId w:val="27"/>
  </w:num>
  <w:num w:numId="18">
    <w:abstractNumId w:val="30"/>
  </w:num>
  <w:num w:numId="19">
    <w:abstractNumId w:val="39"/>
  </w:num>
  <w:num w:numId="20">
    <w:abstractNumId w:val="9"/>
  </w:num>
  <w:num w:numId="21">
    <w:abstractNumId w:val="32"/>
  </w:num>
  <w:num w:numId="22">
    <w:abstractNumId w:val="45"/>
  </w:num>
  <w:num w:numId="23">
    <w:abstractNumId w:val="38"/>
  </w:num>
  <w:num w:numId="24">
    <w:abstractNumId w:val="0"/>
  </w:num>
  <w:num w:numId="25">
    <w:abstractNumId w:val="41"/>
  </w:num>
  <w:num w:numId="26">
    <w:abstractNumId w:val="20"/>
  </w:num>
  <w:num w:numId="27">
    <w:abstractNumId w:val="28"/>
  </w:num>
  <w:num w:numId="28">
    <w:abstractNumId w:val="2"/>
  </w:num>
  <w:num w:numId="29">
    <w:abstractNumId w:val="26"/>
  </w:num>
  <w:num w:numId="30">
    <w:abstractNumId w:val="14"/>
  </w:num>
  <w:num w:numId="31">
    <w:abstractNumId w:val="6"/>
  </w:num>
  <w:num w:numId="32">
    <w:abstractNumId w:val="4"/>
  </w:num>
  <w:num w:numId="33">
    <w:abstractNumId w:val="23"/>
  </w:num>
  <w:num w:numId="34">
    <w:abstractNumId w:val="29"/>
  </w:num>
  <w:num w:numId="35">
    <w:abstractNumId w:val="34"/>
  </w:num>
  <w:num w:numId="36">
    <w:abstractNumId w:val="8"/>
  </w:num>
  <w:num w:numId="37">
    <w:abstractNumId w:val="10"/>
  </w:num>
  <w:num w:numId="38">
    <w:abstractNumId w:val="47"/>
  </w:num>
  <w:num w:numId="39">
    <w:abstractNumId w:val="22"/>
  </w:num>
  <w:num w:numId="40">
    <w:abstractNumId w:val="19"/>
  </w:num>
  <w:num w:numId="41">
    <w:abstractNumId w:val="31"/>
  </w:num>
  <w:num w:numId="42">
    <w:abstractNumId w:val="5"/>
  </w:num>
  <w:num w:numId="43">
    <w:abstractNumId w:val="1"/>
  </w:num>
  <w:num w:numId="44">
    <w:abstractNumId w:val="21"/>
  </w:num>
  <w:num w:numId="45">
    <w:abstractNumId w:val="42"/>
  </w:num>
  <w:num w:numId="46">
    <w:abstractNumId w:val="36"/>
  </w:num>
  <w:num w:numId="47">
    <w:abstractNumId w:val="11"/>
  </w:num>
  <w:num w:numId="48">
    <w:abstractNumId w:val="1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01"/>
    <w:rsid w:val="00032A7E"/>
    <w:rsid w:val="00063C21"/>
    <w:rsid w:val="00093536"/>
    <w:rsid w:val="000A24C1"/>
    <w:rsid w:val="000C5C99"/>
    <w:rsid w:val="000F6E12"/>
    <w:rsid w:val="000F71DA"/>
    <w:rsid w:val="00107849"/>
    <w:rsid w:val="001109AE"/>
    <w:rsid w:val="00147C03"/>
    <w:rsid w:val="0016468A"/>
    <w:rsid w:val="001E3906"/>
    <w:rsid w:val="0024102C"/>
    <w:rsid w:val="002436B9"/>
    <w:rsid w:val="0029215F"/>
    <w:rsid w:val="002C64A4"/>
    <w:rsid w:val="00307C59"/>
    <w:rsid w:val="0031032B"/>
    <w:rsid w:val="003F3B0F"/>
    <w:rsid w:val="00435FFD"/>
    <w:rsid w:val="004452F5"/>
    <w:rsid w:val="00446F93"/>
    <w:rsid w:val="0047284F"/>
    <w:rsid w:val="00475842"/>
    <w:rsid w:val="004977CF"/>
    <w:rsid w:val="004A72B1"/>
    <w:rsid w:val="004D788F"/>
    <w:rsid w:val="004F7F3A"/>
    <w:rsid w:val="00554F1C"/>
    <w:rsid w:val="005C49EF"/>
    <w:rsid w:val="00615485"/>
    <w:rsid w:val="0071643C"/>
    <w:rsid w:val="00730C0A"/>
    <w:rsid w:val="007724D5"/>
    <w:rsid w:val="00775315"/>
    <w:rsid w:val="007C4972"/>
    <w:rsid w:val="007E5840"/>
    <w:rsid w:val="00807C0E"/>
    <w:rsid w:val="00830AE5"/>
    <w:rsid w:val="00862F5C"/>
    <w:rsid w:val="00864A3E"/>
    <w:rsid w:val="008748C8"/>
    <w:rsid w:val="008748F7"/>
    <w:rsid w:val="0087563D"/>
    <w:rsid w:val="009034A0"/>
    <w:rsid w:val="00996B86"/>
    <w:rsid w:val="009E6C75"/>
    <w:rsid w:val="00A21D34"/>
    <w:rsid w:val="00A23180"/>
    <w:rsid w:val="00A910FD"/>
    <w:rsid w:val="00B64304"/>
    <w:rsid w:val="00BB2D4C"/>
    <w:rsid w:val="00BC6083"/>
    <w:rsid w:val="00BE00A8"/>
    <w:rsid w:val="00BE1011"/>
    <w:rsid w:val="00C03957"/>
    <w:rsid w:val="00C84351"/>
    <w:rsid w:val="00CA2520"/>
    <w:rsid w:val="00CC0262"/>
    <w:rsid w:val="00CF6161"/>
    <w:rsid w:val="00D33E06"/>
    <w:rsid w:val="00DC2600"/>
    <w:rsid w:val="00E464C4"/>
    <w:rsid w:val="00E47202"/>
    <w:rsid w:val="00E8178F"/>
    <w:rsid w:val="00EA1557"/>
    <w:rsid w:val="00EA18AB"/>
    <w:rsid w:val="00ED4DC8"/>
    <w:rsid w:val="00EF065D"/>
    <w:rsid w:val="00F16CFF"/>
    <w:rsid w:val="00F51701"/>
    <w:rsid w:val="00F86D64"/>
    <w:rsid w:val="00F91E68"/>
    <w:rsid w:val="00F944AC"/>
    <w:rsid w:val="00FA1661"/>
    <w:rsid w:val="00FB7B02"/>
    <w:rsid w:val="00FC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9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517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36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701"/>
    <w:rPr>
      <w:strike w:val="0"/>
      <w:dstrike w:val="0"/>
      <w:color w:val="0000FF"/>
      <w:u w:val="none"/>
      <w:effect w:val="none"/>
      <w:bdr w:val="outset" w:sz="6" w:space="0" w:color="F8F8FF" w:frame="1"/>
      <w:shd w:val="clear" w:color="auto" w:fill="F8F8FF"/>
    </w:rPr>
  </w:style>
  <w:style w:type="paragraph" w:styleId="NormalWeb">
    <w:name w:val="Normal (Web)"/>
    <w:basedOn w:val="Normal"/>
    <w:uiPriority w:val="99"/>
    <w:unhideWhenUsed/>
    <w:rsid w:val="00F5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3366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1701"/>
    <w:rPr>
      <w:rFonts w:ascii="Courier New" w:eastAsia="Times New Roman" w:hAnsi="Courier New" w:cs="Courier New"/>
      <w:color w:val="003366"/>
      <w:sz w:val="20"/>
      <w:szCs w:val="20"/>
    </w:rPr>
  </w:style>
  <w:style w:type="character" w:styleId="Strong">
    <w:name w:val="Strong"/>
    <w:basedOn w:val="DefaultParagraphFont"/>
    <w:uiPriority w:val="22"/>
    <w:qFormat/>
    <w:rsid w:val="00F5170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51701"/>
    <w:rPr>
      <w:rFonts w:ascii="Times New Roman" w:eastAsia="Times New Roman" w:hAnsi="Times New Roman" w:cs="Times New Roman"/>
      <w:b/>
      <w:bCs/>
      <w:color w:val="003366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241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102C"/>
  </w:style>
  <w:style w:type="paragraph" w:styleId="Footer">
    <w:name w:val="footer"/>
    <w:basedOn w:val="Normal"/>
    <w:link w:val="FooterChar"/>
    <w:uiPriority w:val="99"/>
    <w:unhideWhenUsed/>
    <w:rsid w:val="00241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02C"/>
  </w:style>
  <w:style w:type="paragraph" w:styleId="BalloonText">
    <w:name w:val="Balloon Text"/>
    <w:basedOn w:val="Normal"/>
    <w:link w:val="BalloonTextChar"/>
    <w:uiPriority w:val="99"/>
    <w:semiHidden/>
    <w:unhideWhenUsed/>
    <w:rsid w:val="00241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61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10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9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517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36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701"/>
    <w:rPr>
      <w:strike w:val="0"/>
      <w:dstrike w:val="0"/>
      <w:color w:val="0000FF"/>
      <w:u w:val="none"/>
      <w:effect w:val="none"/>
      <w:bdr w:val="outset" w:sz="6" w:space="0" w:color="F8F8FF" w:frame="1"/>
      <w:shd w:val="clear" w:color="auto" w:fill="F8F8FF"/>
    </w:rPr>
  </w:style>
  <w:style w:type="paragraph" w:styleId="NormalWeb">
    <w:name w:val="Normal (Web)"/>
    <w:basedOn w:val="Normal"/>
    <w:uiPriority w:val="99"/>
    <w:unhideWhenUsed/>
    <w:rsid w:val="00F5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3366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1701"/>
    <w:rPr>
      <w:rFonts w:ascii="Courier New" w:eastAsia="Times New Roman" w:hAnsi="Courier New" w:cs="Courier New"/>
      <w:color w:val="003366"/>
      <w:sz w:val="20"/>
      <w:szCs w:val="20"/>
    </w:rPr>
  </w:style>
  <w:style w:type="character" w:styleId="Strong">
    <w:name w:val="Strong"/>
    <w:basedOn w:val="DefaultParagraphFont"/>
    <w:uiPriority w:val="22"/>
    <w:qFormat/>
    <w:rsid w:val="00F5170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51701"/>
    <w:rPr>
      <w:rFonts w:ascii="Times New Roman" w:eastAsia="Times New Roman" w:hAnsi="Times New Roman" w:cs="Times New Roman"/>
      <w:b/>
      <w:bCs/>
      <w:color w:val="003366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241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102C"/>
  </w:style>
  <w:style w:type="paragraph" w:styleId="Footer">
    <w:name w:val="footer"/>
    <w:basedOn w:val="Normal"/>
    <w:link w:val="FooterChar"/>
    <w:uiPriority w:val="99"/>
    <w:unhideWhenUsed/>
    <w:rsid w:val="00241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02C"/>
  </w:style>
  <w:style w:type="paragraph" w:styleId="BalloonText">
    <w:name w:val="Balloon Text"/>
    <w:basedOn w:val="Normal"/>
    <w:link w:val="BalloonTextChar"/>
    <w:uiPriority w:val="99"/>
    <w:semiHidden/>
    <w:unhideWhenUsed/>
    <w:rsid w:val="00241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61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10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280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035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52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46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63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2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8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6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4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1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759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010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0179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848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942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4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70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1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9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18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2543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412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2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1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5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3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0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7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59118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.tilley@cna.nl.ca" TargetMode="External"/><Relationship Id="rId13" Type="http://schemas.openxmlformats.org/officeDocument/2006/relationships/hyperlink" Target="http://www.hrsdc.gc.ca/eng/lp/spila/clli/ohslc/01Occupational_Health_and_Safety.shtml" TargetMode="External"/><Relationship Id="rId18" Type="http://schemas.openxmlformats.org/officeDocument/2006/relationships/hyperlink" Target="http://www.hrsdc.gc.ca/eng/lp/lo/fll/part3/index-fll.shtml" TargetMode="External"/><Relationship Id="rId26" Type="http://schemas.openxmlformats.org/officeDocument/2006/relationships/hyperlink" Target="http://assembly.nl.ca/Legislation/sr/statutes/l02.htm" TargetMode="External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hrsdc.gc.ca/eng/lp/lo/lswe/we/legislation/index-we.shtml" TargetMode="External"/><Relationship Id="rId34" Type="http://schemas.openxmlformats.org/officeDocument/2006/relationships/hyperlink" Target="http://assembly.nl.ca/Legislation/sr/statutes/i18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hrsdc.gc.ca/eng/lp/lo/fll/part1/index-fll.shtml" TargetMode="External"/><Relationship Id="rId17" Type="http://schemas.openxmlformats.org/officeDocument/2006/relationships/hyperlink" Target="http://www.hrsdc.gc.ca/eng/lp/spila/clli/eslc/01Employment_Standards_Legislation_in_Canada.shtml" TargetMode="External"/><Relationship Id="rId25" Type="http://schemas.openxmlformats.org/officeDocument/2006/relationships/hyperlink" Target="http://assembly.nl.ca/Legislation/sr/regulations/rc960746.htm" TargetMode="External"/><Relationship Id="rId33" Type="http://schemas.openxmlformats.org/officeDocument/2006/relationships/hyperlink" Target="http://assembly.nl.ca/Legislation/sr/statutes/t03.htm" TargetMode="External"/><Relationship Id="rId38" Type="http://schemas.openxmlformats.org/officeDocument/2006/relationships/hyperlink" Target="http://www.justice.gov.nl.ca/hrc/newfoundland_human_rights_commi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rsdc.gc.ca/eng/lp/lo/ohs/part19/part19.shtml" TargetMode="External"/><Relationship Id="rId20" Type="http://schemas.openxmlformats.org/officeDocument/2006/relationships/hyperlink" Target="http://www.hrsdc.gc.ca/eng/lp/spila/clli/dllc/01Developments_in_Labour_Legislation_in_Canada.shtml" TargetMode="External"/><Relationship Id="rId29" Type="http://schemas.openxmlformats.org/officeDocument/2006/relationships/hyperlink" Target="http://assembly.nl.ca/Legislation/sr/regulations/rc961115.htm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rsdc.gc.ca/eng/lp/spila/clli/irlc/01industrial_relations_legislation_canada.shtml" TargetMode="External"/><Relationship Id="rId24" Type="http://schemas.openxmlformats.org/officeDocument/2006/relationships/hyperlink" Target="http://assembly.nl.ca/Legislation/sr/statutes/l01.htm" TargetMode="External"/><Relationship Id="rId32" Type="http://schemas.openxmlformats.org/officeDocument/2006/relationships/hyperlink" Target="http://assembly.nl.ca/Legislation/sr/regulations/rc070024.htm" TargetMode="External"/><Relationship Id="rId37" Type="http://schemas.openxmlformats.org/officeDocument/2006/relationships/hyperlink" Target="http://www.justice.gov.nl.ca/hrc/faqs.htm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hrsdc.gc.ca/eng/lp/lo/fll/part2/index-regs.shtml" TargetMode="External"/><Relationship Id="rId23" Type="http://schemas.openxmlformats.org/officeDocument/2006/relationships/image" Target="media/image2.gif"/><Relationship Id="rId28" Type="http://schemas.openxmlformats.org/officeDocument/2006/relationships/hyperlink" Target="http://assembly.nl.ca/Legislation/sr/statutes/s15.htm" TargetMode="External"/><Relationship Id="rId36" Type="http://schemas.openxmlformats.org/officeDocument/2006/relationships/hyperlink" Target="http://www.justice.gov.nl.ca/hrc/human_rights_code.htm" TargetMode="External"/><Relationship Id="rId10" Type="http://schemas.openxmlformats.org/officeDocument/2006/relationships/hyperlink" Target="http://www.canada.gc.ca" TargetMode="External"/><Relationship Id="rId19" Type="http://schemas.openxmlformats.org/officeDocument/2006/relationships/hyperlink" Target="http://www.hrsdc.gc.ca/eng/lp/spila/clli/eslc/20Whistleblower_Protection.shtml" TargetMode="External"/><Relationship Id="rId31" Type="http://schemas.openxmlformats.org/officeDocument/2006/relationships/hyperlink" Target="http://assembly.nl.ca/Legislation/sr/statutes/f18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www.hrsdc.gc.ca/eng/lp/lo/fll/part2/index-fll.shtml" TargetMode="External"/><Relationship Id="rId22" Type="http://schemas.openxmlformats.org/officeDocument/2006/relationships/hyperlink" Target="http://www.caall-acalo.org/home_e.shtml" TargetMode="External"/><Relationship Id="rId27" Type="http://schemas.openxmlformats.org/officeDocument/2006/relationships/hyperlink" Target="http://assembly.nl.ca/Legislation/sr/regulations/rc960781.htm" TargetMode="External"/><Relationship Id="rId30" Type="http://schemas.openxmlformats.org/officeDocument/2006/relationships/hyperlink" Target="http://assembly.nl.ca/Legislation/sr/statutes/p42.htm" TargetMode="External"/><Relationship Id="rId35" Type="http://schemas.openxmlformats.org/officeDocument/2006/relationships/hyperlink" Target="http://www.hrle.gov.nl.ca/lra/labourstandards/faq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4</cp:revision>
  <cp:lastPrinted>2011-01-04T13:32:00Z</cp:lastPrinted>
  <dcterms:created xsi:type="dcterms:W3CDTF">2012-01-03T11:49:00Z</dcterms:created>
  <dcterms:modified xsi:type="dcterms:W3CDTF">2012-01-03T12:50:00Z</dcterms:modified>
</cp:coreProperties>
</file>