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C81" w:rsidRPr="00104CFB" w:rsidRDefault="00BE7C81" w:rsidP="00BE7C81">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781904" w:rsidP="00BE7C81">
      <w:pPr>
        <w:spacing w:after="0" w:line="240" w:lineRule="auto"/>
      </w:pPr>
      <w:r w:rsidRPr="00104CFB">
        <w:t>With Paul Tilley</w:t>
      </w:r>
    </w:p>
    <w:p w:rsidR="00846933" w:rsidRDefault="00846933" w:rsidP="00846933">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846933">
        <w:rPr>
          <w:rFonts w:asciiTheme="majorHAnsi" w:eastAsiaTheme="majorEastAsia" w:hAnsiTheme="majorHAnsi" w:cstheme="majorBidi"/>
          <w:i/>
          <w:iCs/>
          <w:color w:val="5B9BD5" w:themeColor="accent1"/>
          <w:sz w:val="32"/>
          <w:szCs w:val="32"/>
          <w:lang w:eastAsia="en-CA"/>
        </w:rPr>
        <w:t xml:space="preserve">UNIT </w:t>
      </w:r>
      <w:r w:rsidR="008928BF">
        <w:rPr>
          <w:rFonts w:asciiTheme="majorHAnsi" w:eastAsiaTheme="majorEastAsia" w:hAnsiTheme="majorHAnsi" w:cstheme="majorBidi"/>
          <w:i/>
          <w:iCs/>
          <w:color w:val="5B9BD5" w:themeColor="accent1"/>
          <w:sz w:val="32"/>
          <w:szCs w:val="32"/>
          <w:lang w:eastAsia="en-CA"/>
        </w:rPr>
        <w:t>2</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w:t>
      </w:r>
      <w:r w:rsidRPr="00846933">
        <w:rPr>
          <w:rFonts w:asciiTheme="majorHAnsi" w:eastAsiaTheme="majorEastAsia" w:hAnsiTheme="majorHAnsi" w:cstheme="majorBidi"/>
          <w:i/>
          <w:iCs/>
          <w:color w:val="5B9BD5" w:themeColor="accent1"/>
          <w:sz w:val="32"/>
          <w:szCs w:val="32"/>
          <w:lang w:eastAsia="en-CA"/>
        </w:rPr>
        <w:t xml:space="preserve"> </w:t>
      </w:r>
      <w:r w:rsidR="008928BF">
        <w:rPr>
          <w:rFonts w:asciiTheme="majorHAnsi" w:eastAsiaTheme="majorEastAsia" w:hAnsiTheme="majorHAnsi" w:cstheme="majorBidi"/>
          <w:i/>
          <w:iCs/>
          <w:color w:val="5B9BD5" w:themeColor="accent1"/>
          <w:sz w:val="32"/>
          <w:szCs w:val="32"/>
          <w:lang w:eastAsia="en-CA"/>
        </w:rPr>
        <w:t xml:space="preserve">Employment </w:t>
      </w:r>
      <w:r w:rsidR="003146E6">
        <w:rPr>
          <w:rFonts w:asciiTheme="majorHAnsi" w:eastAsiaTheme="majorEastAsia" w:hAnsiTheme="majorHAnsi" w:cstheme="majorBidi"/>
          <w:i/>
          <w:iCs/>
          <w:color w:val="5B9BD5" w:themeColor="accent1"/>
          <w:sz w:val="32"/>
          <w:szCs w:val="32"/>
          <w:lang w:eastAsia="en-CA"/>
        </w:rPr>
        <w:t xml:space="preserve">Law </w:t>
      </w:r>
      <w:r w:rsidR="00BE7C81">
        <w:rPr>
          <w:rFonts w:asciiTheme="majorHAnsi" w:eastAsiaTheme="majorEastAsia" w:hAnsiTheme="majorHAnsi" w:cstheme="majorBidi"/>
          <w:i/>
          <w:iCs/>
          <w:color w:val="5B9BD5" w:themeColor="accent1"/>
          <w:sz w:val="32"/>
          <w:szCs w:val="32"/>
          <w:lang w:eastAsia="en-CA"/>
        </w:rPr>
        <w:t xml:space="preserve">– </w:t>
      </w:r>
      <w:r w:rsidRPr="00846933">
        <w:rPr>
          <w:rFonts w:asciiTheme="majorHAnsi" w:eastAsiaTheme="majorEastAsia" w:hAnsiTheme="majorHAnsi" w:cstheme="majorBidi"/>
          <w:i/>
          <w:iCs/>
          <w:color w:val="5B9BD5" w:themeColor="accent1"/>
          <w:sz w:val="32"/>
          <w:szCs w:val="32"/>
          <w:lang w:eastAsia="en-CA"/>
        </w:rPr>
        <w:t xml:space="preserve">CHAPTER </w:t>
      </w:r>
      <w:r w:rsidR="00172178">
        <w:rPr>
          <w:rFonts w:asciiTheme="majorHAnsi" w:eastAsiaTheme="majorEastAsia" w:hAnsiTheme="majorHAnsi" w:cstheme="majorBidi"/>
          <w:i/>
          <w:iCs/>
          <w:color w:val="5B9BD5" w:themeColor="accent1"/>
          <w:sz w:val="32"/>
          <w:szCs w:val="32"/>
          <w:lang w:eastAsia="en-CA"/>
        </w:rPr>
        <w:t>9 – Equity in the Workplace</w:t>
      </w:r>
    </w:p>
    <w:p w:rsidR="00846933" w:rsidRDefault="00846933" w:rsidP="00846933">
      <w:pPr>
        <w:spacing w:after="0" w:line="330" w:lineRule="atLeast"/>
        <w:rPr>
          <w:rFonts w:asciiTheme="majorHAnsi" w:eastAsiaTheme="majorEastAsia" w:hAnsiTheme="majorHAnsi" w:cstheme="majorBidi"/>
          <w:i/>
          <w:iCs/>
          <w:color w:val="5B9BD5" w:themeColor="accent1"/>
          <w:sz w:val="32"/>
          <w:szCs w:val="32"/>
          <w:lang w:eastAsia="en-CA"/>
        </w:rPr>
      </w:pPr>
    </w:p>
    <w:p w:rsidR="00F66992" w:rsidRDefault="00F66992" w:rsidP="00846933">
      <w:pPr>
        <w:spacing w:after="0" w:line="330" w:lineRule="atLeast"/>
        <w:rPr>
          <w:rFonts w:asciiTheme="majorHAnsi" w:eastAsiaTheme="majorEastAsia" w:hAnsiTheme="majorHAnsi" w:cstheme="majorBidi"/>
          <w:i/>
          <w:iCs/>
          <w:color w:val="5B9BD5" w:themeColor="accent1"/>
          <w:sz w:val="32"/>
          <w:szCs w:val="32"/>
          <w:lang w:eastAsia="en-CA"/>
        </w:rPr>
      </w:pPr>
    </w:p>
    <w:tbl>
      <w:tblPr>
        <w:tblStyle w:val="TableGrid"/>
        <w:tblW w:w="0" w:type="auto"/>
        <w:tblLook w:val="04A0" w:firstRow="1" w:lastRow="0" w:firstColumn="1" w:lastColumn="0" w:noHBand="0" w:noVBand="1"/>
      </w:tblPr>
      <w:tblGrid>
        <w:gridCol w:w="9350"/>
      </w:tblGrid>
      <w:tr w:rsidR="00F66992" w:rsidTr="00F66992">
        <w:tc>
          <w:tcPr>
            <w:tcW w:w="9350" w:type="dxa"/>
          </w:tcPr>
          <w:p w:rsidR="00F66992" w:rsidRDefault="00F66992" w:rsidP="00F66992">
            <w:pPr>
              <w:pStyle w:val="Heading1"/>
              <w:numPr>
                <w:ilvl w:val="0"/>
                <w:numId w:val="16"/>
              </w:numPr>
              <w:outlineLvl w:val="0"/>
              <w:rPr>
                <w:rFonts w:eastAsia="Times New Roman"/>
                <w:shd w:val="clear" w:color="auto" w:fill="FFFFFF"/>
                <w:lang w:eastAsia="en-CA"/>
              </w:rPr>
            </w:pPr>
            <w:r>
              <w:rPr>
                <w:i/>
                <w:iCs/>
                <w:color w:val="5B9BD5" w:themeColor="accent1"/>
                <w:lang w:eastAsia="en-CA"/>
              </w:rPr>
              <w:t xml:space="preserve">Provincial: </w:t>
            </w:r>
            <w:hyperlink r:id="rId7" w:tgtFrame="_blank" w:history="1">
              <w:r w:rsidRPr="00F66992">
                <w:rPr>
                  <w:rFonts w:eastAsia="Times New Roman"/>
                  <w:color w:val="428BCA"/>
                  <w:shd w:val="clear" w:color="auto" w:fill="FFFFFF"/>
                  <w:lang w:eastAsia="en-CA"/>
                </w:rPr>
                <w:t>Quick guide to NL Employment Standards PDF</w:t>
              </w:r>
            </w:hyperlink>
          </w:p>
          <w:p w:rsidR="00F66992" w:rsidRDefault="00F66992" w:rsidP="00F66992">
            <w:pPr>
              <w:pStyle w:val="Heading1"/>
              <w:numPr>
                <w:ilvl w:val="0"/>
                <w:numId w:val="16"/>
              </w:numPr>
              <w:outlineLvl w:val="0"/>
              <w:rPr>
                <w:i/>
                <w:iCs/>
                <w:color w:val="5B9BD5" w:themeColor="accent1"/>
                <w:lang w:eastAsia="en-CA"/>
              </w:rPr>
            </w:pPr>
            <w:r>
              <w:rPr>
                <w:rFonts w:eastAsia="Times New Roman"/>
                <w:shd w:val="clear" w:color="auto" w:fill="FFFFFF"/>
                <w:lang w:eastAsia="en-CA"/>
              </w:rPr>
              <w:t xml:space="preserve">Provincial: </w:t>
            </w:r>
            <w:hyperlink r:id="rId8" w:history="1">
              <w:r w:rsidRPr="00F66992">
                <w:rPr>
                  <w:rStyle w:val="Hyperlink"/>
                  <w:i/>
                  <w:iCs/>
                  <w:lang w:eastAsia="en-CA"/>
                </w:rPr>
                <w:t xml:space="preserve">Nl Employment Standards </w:t>
              </w:r>
            </w:hyperlink>
            <w:r>
              <w:rPr>
                <w:i/>
                <w:iCs/>
                <w:color w:val="5B9BD5" w:themeColor="accent1"/>
                <w:lang w:eastAsia="en-CA"/>
              </w:rPr>
              <w:t>FAQ</w:t>
            </w:r>
          </w:p>
          <w:p w:rsidR="00F66992" w:rsidRPr="00F66992" w:rsidRDefault="00F66992" w:rsidP="00F66992">
            <w:pPr>
              <w:rPr>
                <w:lang w:eastAsia="en-CA"/>
              </w:rPr>
            </w:pPr>
          </w:p>
          <w:p w:rsidR="00F66992" w:rsidRPr="00F66992" w:rsidRDefault="00F66992" w:rsidP="00F66992">
            <w:pPr>
              <w:pStyle w:val="Heading1"/>
              <w:numPr>
                <w:ilvl w:val="0"/>
                <w:numId w:val="16"/>
              </w:numPr>
              <w:outlineLvl w:val="0"/>
              <w:rPr>
                <w:rStyle w:val="Hyperlink"/>
                <w:i/>
                <w:iCs/>
                <w:lang w:eastAsia="en-CA"/>
              </w:rPr>
            </w:pPr>
            <w:r>
              <w:rPr>
                <w:rFonts w:eastAsia="Times New Roman"/>
                <w:shd w:val="clear" w:color="auto" w:fill="FFFFFF"/>
                <w:lang w:eastAsia="en-CA"/>
              </w:rPr>
              <w:t xml:space="preserve">Provincial: </w:t>
            </w:r>
            <w:r>
              <w:rPr>
                <w:i/>
                <w:iCs/>
                <w:color w:val="5B9BD5" w:themeColor="accent1"/>
                <w:lang w:eastAsia="en-CA"/>
              </w:rPr>
              <w:fldChar w:fldCharType="begin"/>
            </w:r>
            <w:r>
              <w:rPr>
                <w:i/>
                <w:iCs/>
                <w:color w:val="5B9BD5" w:themeColor="accent1"/>
                <w:lang w:eastAsia="en-CA"/>
              </w:rPr>
              <w:instrText xml:space="preserve"> HYPERLINK "http://www.gov.nl.ca/lra/agency/legislation.html" </w:instrText>
            </w:r>
            <w:r>
              <w:rPr>
                <w:i/>
                <w:iCs/>
                <w:color w:val="5B9BD5" w:themeColor="accent1"/>
                <w:lang w:eastAsia="en-CA"/>
              </w:rPr>
              <w:fldChar w:fldCharType="separate"/>
            </w:r>
            <w:r w:rsidRPr="00F66992">
              <w:rPr>
                <w:rStyle w:val="Hyperlink"/>
                <w:i/>
                <w:iCs/>
                <w:lang w:eastAsia="en-CA"/>
              </w:rPr>
              <w:t xml:space="preserve">Nl Employment Standards </w:t>
            </w:r>
            <w:r>
              <w:rPr>
                <w:rStyle w:val="Hyperlink"/>
                <w:i/>
                <w:iCs/>
                <w:lang w:eastAsia="en-CA"/>
              </w:rPr>
              <w:t>Legislation</w:t>
            </w:r>
          </w:p>
          <w:p w:rsidR="00F66992" w:rsidRPr="00F66992" w:rsidRDefault="00F66992" w:rsidP="00F66992">
            <w:pPr>
              <w:rPr>
                <w:lang w:eastAsia="en-CA"/>
              </w:rPr>
            </w:pPr>
            <w:r>
              <w:rPr>
                <w:rFonts w:asciiTheme="majorHAnsi" w:eastAsiaTheme="majorEastAsia" w:hAnsiTheme="majorHAnsi" w:cstheme="majorBidi"/>
                <w:i/>
                <w:iCs/>
                <w:color w:val="5B9BD5" w:themeColor="accent1"/>
                <w:sz w:val="32"/>
                <w:szCs w:val="32"/>
                <w:lang w:eastAsia="en-CA"/>
              </w:rPr>
              <w:fldChar w:fldCharType="end"/>
            </w:r>
          </w:p>
          <w:p w:rsidR="00F66992" w:rsidRDefault="00F66992" w:rsidP="003B5029">
            <w:pPr>
              <w:pStyle w:val="Heading1"/>
              <w:numPr>
                <w:ilvl w:val="0"/>
                <w:numId w:val="16"/>
              </w:numPr>
              <w:outlineLvl w:val="0"/>
              <w:rPr>
                <w:i/>
                <w:iCs/>
                <w:lang w:eastAsia="en-CA"/>
              </w:rPr>
            </w:pPr>
            <w:r>
              <w:rPr>
                <w:i/>
                <w:iCs/>
                <w:color w:val="5B9BD5" w:themeColor="accent1"/>
                <w:lang w:eastAsia="en-CA"/>
              </w:rPr>
              <w:t xml:space="preserve">Federal: </w:t>
            </w:r>
            <w:hyperlink r:id="rId9" w:history="1">
              <w:r w:rsidR="003B5029" w:rsidRPr="003B5029">
                <w:rPr>
                  <w:rStyle w:val="Hyperlink"/>
                  <w:i/>
                  <w:iCs/>
                  <w:lang w:eastAsia="en-CA"/>
                </w:rPr>
                <w:t>Employment Equity Act</w:t>
              </w:r>
            </w:hyperlink>
          </w:p>
          <w:p w:rsidR="003B5029" w:rsidRDefault="003B5029" w:rsidP="003B5029">
            <w:pPr>
              <w:rPr>
                <w:lang w:eastAsia="en-CA"/>
              </w:rPr>
            </w:pPr>
          </w:p>
          <w:p w:rsidR="003B5029" w:rsidRDefault="003B5029" w:rsidP="003B5029">
            <w:pPr>
              <w:pStyle w:val="Heading1"/>
              <w:numPr>
                <w:ilvl w:val="0"/>
                <w:numId w:val="16"/>
              </w:numPr>
              <w:outlineLvl w:val="0"/>
              <w:rPr>
                <w:i/>
                <w:lang w:eastAsia="en-CA"/>
              </w:rPr>
            </w:pPr>
            <w:hyperlink r:id="rId10" w:history="1">
              <w:r w:rsidRPr="003B5029">
                <w:rPr>
                  <w:rStyle w:val="Hyperlink"/>
                  <w:i/>
                  <w:lang w:eastAsia="en-CA"/>
                </w:rPr>
                <w:t>Employment equity tools, resources and publications</w:t>
              </w:r>
            </w:hyperlink>
          </w:p>
          <w:p w:rsidR="003B5029" w:rsidRPr="003B5029" w:rsidRDefault="003B5029" w:rsidP="003B5029">
            <w:pPr>
              <w:pStyle w:val="Heading1"/>
              <w:numPr>
                <w:ilvl w:val="0"/>
                <w:numId w:val="16"/>
              </w:numPr>
              <w:rPr>
                <w:i/>
                <w:lang w:eastAsia="en-CA"/>
              </w:rPr>
            </w:pPr>
            <w:hyperlink r:id="rId11" w:history="1">
              <w:r>
                <w:rPr>
                  <w:rStyle w:val="Hyperlink"/>
                  <w:i/>
                  <w:lang w:eastAsia="en-CA"/>
                </w:rPr>
                <w:t>Canadian Human Right C</w:t>
              </w:r>
              <w:r w:rsidRPr="003B5029">
                <w:rPr>
                  <w:rStyle w:val="Hyperlink"/>
                  <w:i/>
                  <w:lang w:eastAsia="en-CA"/>
                </w:rPr>
                <w:t>ommission on Employment Equity</w:t>
              </w:r>
            </w:hyperlink>
          </w:p>
          <w:p w:rsidR="003B5029" w:rsidRPr="003B5029" w:rsidRDefault="003B5029" w:rsidP="003B5029">
            <w:pPr>
              <w:rPr>
                <w:lang w:eastAsia="en-CA"/>
              </w:rPr>
            </w:pPr>
          </w:p>
        </w:tc>
      </w:tr>
    </w:tbl>
    <w:p w:rsidR="00F66992" w:rsidRPr="00F66992" w:rsidRDefault="00F66992" w:rsidP="00F66992">
      <w:pPr>
        <w:pStyle w:val="Heading1"/>
        <w:rPr>
          <w:rFonts w:eastAsia="Times New Roman"/>
          <w:i/>
          <w:shd w:val="clear" w:color="auto" w:fill="FFFFFF"/>
          <w:lang w:eastAsia="en-CA"/>
        </w:rPr>
      </w:pPr>
      <w:r w:rsidRPr="00F66992">
        <w:rPr>
          <w:rFonts w:eastAsia="Times New Roman"/>
          <w:lang w:eastAsia="en-CA"/>
        </w:rPr>
        <w:br/>
      </w:r>
      <w:r w:rsidR="00172178">
        <w:rPr>
          <w:rFonts w:eastAsia="Times New Roman"/>
          <w:i/>
          <w:shd w:val="clear" w:color="auto" w:fill="FFFFFF"/>
          <w:lang w:eastAsia="en-CA"/>
        </w:rPr>
        <w:t xml:space="preserve">Employment Equity in </w:t>
      </w:r>
      <w:r w:rsidRPr="00F66992">
        <w:rPr>
          <w:rFonts w:eastAsia="Times New Roman"/>
          <w:i/>
          <w:shd w:val="clear" w:color="auto" w:fill="FFFFFF"/>
          <w:lang w:eastAsia="en-CA"/>
        </w:rPr>
        <w:t xml:space="preserve">Newfoundland and Labrador </w:t>
      </w:r>
    </w:p>
    <w:p w:rsidR="00172178" w:rsidRDefault="00172178" w:rsidP="00172178">
      <w:pPr>
        <w:spacing w:after="0" w:line="240" w:lineRule="auto"/>
        <w:rPr>
          <w:rFonts w:ascii="Calibri" w:hAnsi="Calibri"/>
          <w:color w:val="333333"/>
          <w:sz w:val="23"/>
          <w:szCs w:val="23"/>
          <w:shd w:val="clear" w:color="auto" w:fill="FFFFFF"/>
        </w:rPr>
      </w:pPr>
    </w:p>
    <w:p w:rsidR="00650FD9" w:rsidRDefault="00650FD9" w:rsidP="00172178">
      <w:pPr>
        <w:spacing w:after="0" w:line="240" w:lineRule="auto"/>
        <w:rPr>
          <w:rFonts w:ascii="Calibri" w:hAnsi="Calibri"/>
          <w:color w:val="333333"/>
          <w:sz w:val="23"/>
          <w:szCs w:val="23"/>
          <w:shd w:val="clear" w:color="auto" w:fill="FFFFFF"/>
        </w:rPr>
      </w:pPr>
      <w:r w:rsidRPr="00650FD9">
        <w:rPr>
          <w:rFonts w:ascii="Calibri" w:hAnsi="Calibri"/>
          <w:color w:val="333333"/>
          <w:sz w:val="23"/>
          <w:szCs w:val="23"/>
          <w:shd w:val="clear" w:color="auto" w:fill="FFFFFF"/>
        </w:rPr>
        <w:t xml:space="preserve">According to the Canadian Charter of Rights and Freedoms: “Every individual is equal before and under the law and has the right to the equal protection and equal benefit of the law without discrimination and, in particular, without discrimination based on race, national or ethnic origin, colour, religion, sex, age or mental or physical disability.” </w:t>
      </w:r>
    </w:p>
    <w:p w:rsidR="00650FD9" w:rsidRDefault="00650FD9" w:rsidP="00172178">
      <w:pPr>
        <w:spacing w:after="0" w:line="240" w:lineRule="auto"/>
        <w:rPr>
          <w:rFonts w:ascii="Calibri" w:hAnsi="Calibri"/>
          <w:color w:val="333333"/>
          <w:sz w:val="23"/>
          <w:szCs w:val="23"/>
          <w:shd w:val="clear" w:color="auto" w:fill="FFFFFF"/>
        </w:rPr>
      </w:pPr>
    </w:p>
    <w:p w:rsidR="00172178" w:rsidRDefault="00172178" w:rsidP="00172178">
      <w:pPr>
        <w:spacing w:after="0" w:line="240" w:lineRule="auto"/>
        <w:rPr>
          <w:rFonts w:ascii="Calibri" w:hAnsi="Calibri"/>
          <w:color w:val="333333"/>
          <w:sz w:val="23"/>
          <w:szCs w:val="23"/>
          <w:shd w:val="clear" w:color="auto" w:fill="FFFFFF"/>
        </w:rPr>
      </w:pPr>
      <w:r>
        <w:rPr>
          <w:rFonts w:ascii="Calibri" w:hAnsi="Calibri"/>
          <w:color w:val="333333"/>
          <w:sz w:val="23"/>
          <w:szCs w:val="23"/>
          <w:shd w:val="clear" w:color="auto" w:fill="FFFFFF"/>
        </w:rPr>
        <w:t xml:space="preserve">Beginning in 1986, Canadian provinces began to enact specific pay equity legislation that imposed pro-active obligations on employers (usually public sector employers) to take active steps to identify and eliminate wage discrimination. </w:t>
      </w:r>
    </w:p>
    <w:p w:rsid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Newfoundland and Labrador</w:t>
      </w:r>
      <w:r w:rsidR="002E5475">
        <w:rPr>
          <w:rFonts w:ascii="Arial" w:eastAsia="Times New Roman" w:hAnsi="Arial" w:cs="Arial"/>
          <w:bCs/>
          <w:color w:val="333333"/>
          <w:sz w:val="20"/>
          <w:szCs w:val="20"/>
          <w:shd w:val="clear" w:color="auto" w:fill="FFFFFF"/>
          <w:lang w:eastAsia="en-CA"/>
        </w:rPr>
        <w:t xml:space="preserve"> </w:t>
      </w:r>
      <w:r w:rsidR="002E5475" w:rsidRPr="002E5475">
        <w:rPr>
          <w:rFonts w:ascii="Arial" w:eastAsia="Times New Roman" w:hAnsi="Arial" w:cs="Arial"/>
          <w:bCs/>
          <w:color w:val="333333"/>
          <w:sz w:val="20"/>
          <w:szCs w:val="20"/>
          <w:shd w:val="clear" w:color="auto" w:fill="FFFFFF"/>
          <w:lang w:eastAsia="en-CA"/>
        </w:rPr>
        <w:t>does not have specific pay equity legislation</w:t>
      </w:r>
      <w:r w:rsidR="002E5475">
        <w:rPr>
          <w:rFonts w:ascii="Arial" w:eastAsia="Times New Roman" w:hAnsi="Arial" w:cs="Arial"/>
          <w:bCs/>
          <w:color w:val="333333"/>
          <w:sz w:val="20"/>
          <w:szCs w:val="20"/>
          <w:shd w:val="clear" w:color="auto" w:fill="FFFFFF"/>
          <w:lang w:eastAsia="en-CA"/>
        </w:rPr>
        <w:t>, however it does have</w:t>
      </w:r>
      <w:r w:rsidRPr="00172178">
        <w:rPr>
          <w:rFonts w:ascii="Arial" w:eastAsia="Times New Roman" w:hAnsi="Arial" w:cs="Arial"/>
          <w:bCs/>
          <w:color w:val="333333"/>
          <w:sz w:val="20"/>
          <w:szCs w:val="20"/>
          <w:shd w:val="clear" w:color="auto" w:fill="FFFFFF"/>
          <w:lang w:eastAsia="en-CA"/>
        </w:rPr>
        <w:t xml:space="preserve"> provisions in its </w:t>
      </w:r>
      <w:r w:rsidR="002E5475">
        <w:rPr>
          <w:rFonts w:ascii="Arial" w:eastAsia="Times New Roman" w:hAnsi="Arial" w:cs="Arial"/>
          <w:bCs/>
          <w:color w:val="333333"/>
          <w:sz w:val="20"/>
          <w:szCs w:val="20"/>
          <w:shd w:val="clear" w:color="auto" w:fill="FFFFFF"/>
          <w:lang w:eastAsia="en-CA"/>
        </w:rPr>
        <w:t xml:space="preserve">employment </w:t>
      </w:r>
      <w:r w:rsidRPr="00172178">
        <w:rPr>
          <w:rFonts w:ascii="Arial" w:eastAsia="Times New Roman" w:hAnsi="Arial" w:cs="Arial"/>
          <w:bCs/>
          <w:color w:val="333333"/>
          <w:sz w:val="20"/>
          <w:szCs w:val="20"/>
          <w:shd w:val="clear" w:color="auto" w:fill="FFFFFF"/>
          <w:lang w:eastAsia="en-CA"/>
        </w:rPr>
        <w:t xml:space="preserve">legislation </w:t>
      </w:r>
      <w:r w:rsidR="00267B52">
        <w:rPr>
          <w:rFonts w:ascii="Arial" w:eastAsia="Times New Roman" w:hAnsi="Arial" w:cs="Arial"/>
          <w:bCs/>
          <w:color w:val="333333"/>
          <w:sz w:val="20"/>
          <w:szCs w:val="20"/>
          <w:shd w:val="clear" w:color="auto" w:fill="FFFFFF"/>
          <w:lang w:eastAsia="en-CA"/>
        </w:rPr>
        <w:t xml:space="preserve">for </w:t>
      </w:r>
      <w:r w:rsidR="00267B52" w:rsidRPr="00172178">
        <w:rPr>
          <w:rFonts w:ascii="Arial" w:eastAsia="Times New Roman" w:hAnsi="Arial" w:cs="Arial"/>
          <w:bCs/>
          <w:color w:val="333333"/>
          <w:sz w:val="20"/>
          <w:szCs w:val="20"/>
          <w:shd w:val="clear" w:color="auto" w:fill="FFFFFF"/>
          <w:lang w:eastAsia="en-CA"/>
        </w:rPr>
        <w:t>pay equity</w:t>
      </w:r>
      <w:r w:rsidR="00267B52">
        <w:rPr>
          <w:rFonts w:ascii="Arial" w:eastAsia="Times New Roman" w:hAnsi="Arial" w:cs="Arial"/>
          <w:bCs/>
          <w:color w:val="333333"/>
          <w:sz w:val="20"/>
          <w:szCs w:val="20"/>
          <w:shd w:val="clear" w:color="auto" w:fill="FFFFFF"/>
          <w:lang w:eastAsia="en-CA"/>
        </w:rPr>
        <w:t>, t</w:t>
      </w:r>
      <w:r w:rsidRPr="00172178">
        <w:rPr>
          <w:rFonts w:ascii="Arial" w:eastAsia="Times New Roman" w:hAnsi="Arial" w:cs="Arial"/>
          <w:bCs/>
          <w:color w:val="333333"/>
          <w:sz w:val="20"/>
          <w:szCs w:val="20"/>
          <w:shd w:val="clear" w:color="auto" w:fill="FFFFFF"/>
          <w:lang w:eastAsia="en-CA"/>
        </w:rPr>
        <w:t xml:space="preserve">o ensure women and men receive equal pay for performing </w:t>
      </w:r>
      <w:r>
        <w:rPr>
          <w:rFonts w:ascii="Arial" w:eastAsia="Times New Roman" w:hAnsi="Arial" w:cs="Arial"/>
          <w:bCs/>
          <w:color w:val="333333"/>
          <w:sz w:val="20"/>
          <w:szCs w:val="20"/>
          <w:shd w:val="clear" w:color="auto" w:fill="FFFFFF"/>
          <w:lang w:eastAsia="en-CA"/>
        </w:rPr>
        <w:t>“</w:t>
      </w:r>
      <w:r w:rsidRPr="00172178">
        <w:rPr>
          <w:rFonts w:ascii="Arial" w:eastAsia="Times New Roman" w:hAnsi="Arial" w:cs="Arial"/>
          <w:bCs/>
          <w:color w:val="333333"/>
          <w:sz w:val="20"/>
          <w:szCs w:val="20"/>
          <w:shd w:val="clear" w:color="auto" w:fill="FFFFFF"/>
          <w:lang w:eastAsia="en-CA"/>
        </w:rPr>
        <w:t>substantially</w:t>
      </w:r>
      <w:r>
        <w:rPr>
          <w:rFonts w:ascii="Arial" w:eastAsia="Times New Roman" w:hAnsi="Arial" w:cs="Arial"/>
          <w:bCs/>
          <w:color w:val="333333"/>
          <w:sz w:val="20"/>
          <w:szCs w:val="20"/>
          <w:shd w:val="clear" w:color="auto" w:fill="FFFFFF"/>
          <w:lang w:eastAsia="en-CA"/>
        </w:rPr>
        <w:t>”</w:t>
      </w:r>
      <w:r w:rsidRPr="00172178">
        <w:rPr>
          <w:rFonts w:ascii="Arial" w:eastAsia="Times New Roman" w:hAnsi="Arial" w:cs="Arial"/>
          <w:bCs/>
          <w:color w:val="333333"/>
          <w:sz w:val="20"/>
          <w:szCs w:val="20"/>
          <w:shd w:val="clear" w:color="auto" w:fill="FFFFFF"/>
          <w:lang w:eastAsia="en-CA"/>
        </w:rPr>
        <w:t xml:space="preserve"> the same job. That is, they are entitled to receive equal pay for "equal work", meaning work that is substantially the same, requiring the same skill, effort and responsibility and performed under similar working conditions in the same establishment.</w:t>
      </w: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r w:rsidRPr="00172178">
        <w:rPr>
          <w:rFonts w:ascii="Arial" w:eastAsia="Times New Roman" w:hAnsi="Arial" w:cs="Arial"/>
          <w:b/>
          <w:bCs/>
          <w:color w:val="333333"/>
          <w:sz w:val="20"/>
          <w:szCs w:val="20"/>
          <w:shd w:val="clear" w:color="auto" w:fill="FFFFFF"/>
          <w:lang w:eastAsia="en-CA"/>
        </w:rPr>
        <w:t>What is substantially the Same Work</w:t>
      </w:r>
      <w:r>
        <w:rPr>
          <w:rFonts w:ascii="Arial" w:eastAsia="Times New Roman" w:hAnsi="Arial" w:cs="Arial"/>
          <w:b/>
          <w:bCs/>
          <w:color w:val="333333"/>
          <w:sz w:val="20"/>
          <w:szCs w:val="20"/>
          <w:shd w:val="clear" w:color="auto" w:fill="FFFFFF"/>
          <w:lang w:eastAsia="en-CA"/>
        </w:rPr>
        <w:t>?</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This means that the work is similar enough that it could reasonably be considered to fall within the same job classification. The jobs do not have to be identical in every respect, nor do they have to be interchangeable.</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r w:rsidRPr="00172178">
        <w:rPr>
          <w:rFonts w:ascii="Arial" w:eastAsia="Times New Roman" w:hAnsi="Arial" w:cs="Arial"/>
          <w:b/>
          <w:bCs/>
          <w:color w:val="333333"/>
          <w:sz w:val="20"/>
          <w:szCs w:val="20"/>
          <w:shd w:val="clear" w:color="auto" w:fill="FFFFFF"/>
          <w:lang w:eastAsia="en-CA"/>
        </w:rPr>
        <w:t>Substantially the Same Skill, Effort and Responsibility</w:t>
      </w: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Skill refers to the degree or amount of knowledge, physical, or motor capability needed by the employee performing the job.</w:t>
      </w: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Effort is the physical or mental exertion needed to perform a job.</w:t>
      </w: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Responsibility is measured by the number and nature of an employee's job obligations, the degree of accountability, and the degree of authority exercised by an employee in the performance of the job.</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r w:rsidRPr="00172178">
        <w:rPr>
          <w:rFonts w:ascii="Arial" w:eastAsia="Times New Roman" w:hAnsi="Arial" w:cs="Arial"/>
          <w:b/>
          <w:bCs/>
          <w:color w:val="333333"/>
          <w:sz w:val="20"/>
          <w:szCs w:val="20"/>
          <w:shd w:val="clear" w:color="auto" w:fill="FFFFFF"/>
          <w:lang w:eastAsia="en-CA"/>
        </w:rPr>
        <w:t>Similar Working Conditions</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Working conditions refer to such things as exposure to the elements, health and safety hazards, workplace environment, hours of work, etc.</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r w:rsidRPr="00172178">
        <w:rPr>
          <w:rFonts w:ascii="Arial" w:eastAsia="Times New Roman" w:hAnsi="Arial" w:cs="Arial"/>
          <w:b/>
          <w:bCs/>
          <w:color w:val="333333"/>
          <w:sz w:val="20"/>
          <w:szCs w:val="20"/>
          <w:shd w:val="clear" w:color="auto" w:fill="FFFFFF"/>
          <w:lang w:eastAsia="en-CA"/>
        </w:rPr>
        <w:t>The Same Establishment</w:t>
      </w:r>
    </w:p>
    <w:p w:rsidR="00172178" w:rsidRPr="00172178" w:rsidRDefault="00172178" w:rsidP="00172178">
      <w:pPr>
        <w:spacing w:after="0" w:line="240" w:lineRule="auto"/>
        <w:rPr>
          <w:rFonts w:ascii="Arial" w:eastAsia="Times New Roman" w:hAnsi="Arial" w:cs="Arial"/>
          <w:b/>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This means a location where the employer carries on business. Two or more locations are considered a single establishment if:</w:t>
      </w: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172178" w:rsidRPr="00172178" w:rsidRDefault="00172178" w:rsidP="00172178">
      <w:pPr>
        <w:spacing w:after="0" w:line="240" w:lineRule="auto"/>
        <w:rPr>
          <w:rFonts w:ascii="Arial" w:eastAsia="Times New Roman" w:hAnsi="Arial" w:cs="Arial"/>
          <w:bCs/>
          <w:color w:val="333333"/>
          <w:sz w:val="20"/>
          <w:szCs w:val="20"/>
          <w:shd w:val="clear" w:color="auto" w:fill="FFFFFF"/>
          <w:lang w:eastAsia="en-CA"/>
        </w:rPr>
      </w:pPr>
    </w:p>
    <w:p w:rsidR="00F66992" w:rsidRDefault="00172178" w:rsidP="00172178">
      <w:pPr>
        <w:spacing w:after="0" w:line="240" w:lineRule="auto"/>
        <w:rPr>
          <w:rFonts w:ascii="Arial" w:eastAsia="Times New Roman" w:hAnsi="Arial" w:cs="Arial"/>
          <w:b/>
          <w:bCs/>
          <w:color w:val="333333"/>
          <w:sz w:val="20"/>
          <w:szCs w:val="20"/>
          <w:shd w:val="clear" w:color="auto" w:fill="FFFFFF"/>
          <w:lang w:eastAsia="en-CA"/>
        </w:rPr>
      </w:pPr>
      <w:r w:rsidRPr="00172178">
        <w:rPr>
          <w:rFonts w:ascii="Arial" w:eastAsia="Times New Roman" w:hAnsi="Arial" w:cs="Arial"/>
          <w:bCs/>
          <w:color w:val="333333"/>
          <w:sz w:val="20"/>
          <w:szCs w:val="20"/>
          <w:shd w:val="clear" w:color="auto" w:fill="FFFFFF"/>
          <w:lang w:eastAsia="en-CA"/>
        </w:rPr>
        <w:t>If employees have not been paid equal pay for equal work, steps must be taken to change this. Employers must raise wages to achieve equal pay. They cannot lower wages to achieve equal pay</w:t>
      </w:r>
      <w:r w:rsidRPr="00172178">
        <w:rPr>
          <w:rFonts w:ascii="Arial" w:eastAsia="Times New Roman" w:hAnsi="Arial" w:cs="Arial"/>
          <w:b/>
          <w:bCs/>
          <w:color w:val="333333"/>
          <w:sz w:val="20"/>
          <w:szCs w:val="20"/>
          <w:shd w:val="clear" w:color="auto" w:fill="FFFFFF"/>
          <w:lang w:eastAsia="en-CA"/>
        </w:rPr>
        <w:t>.</w:t>
      </w:r>
    </w:p>
    <w:p w:rsidR="00DD175C" w:rsidRDefault="00DD175C" w:rsidP="00172178">
      <w:pPr>
        <w:spacing w:after="0" w:line="240" w:lineRule="auto"/>
        <w:rPr>
          <w:rFonts w:ascii="Arial" w:eastAsia="Times New Roman" w:hAnsi="Arial" w:cs="Arial"/>
          <w:b/>
          <w:bCs/>
          <w:color w:val="333333"/>
          <w:sz w:val="20"/>
          <w:szCs w:val="20"/>
          <w:shd w:val="clear" w:color="auto" w:fill="FFFFFF"/>
          <w:lang w:eastAsia="en-CA"/>
        </w:rPr>
      </w:pPr>
    </w:p>
    <w:p w:rsidR="00DD175C" w:rsidRPr="00DD175C" w:rsidRDefault="00DD175C" w:rsidP="00DD175C">
      <w:pPr>
        <w:pStyle w:val="Heading1"/>
        <w:rPr>
          <w:rFonts w:eastAsia="Times New Roman"/>
          <w:i/>
          <w:shd w:val="clear" w:color="auto" w:fill="FFFFFF"/>
          <w:lang w:eastAsia="en-CA"/>
        </w:rPr>
      </w:pPr>
      <w:r w:rsidRPr="00DD175C">
        <w:rPr>
          <w:rFonts w:eastAsia="Times New Roman"/>
          <w:i/>
          <w:shd w:val="clear" w:color="auto" w:fill="FFFFFF"/>
          <w:lang w:eastAsia="en-CA"/>
        </w:rPr>
        <w:t>Filing a Complaint</w:t>
      </w:r>
    </w:p>
    <w:p w:rsidR="00DD175C" w:rsidRDefault="00DD175C" w:rsidP="00172178">
      <w:pPr>
        <w:spacing w:after="0" w:line="240" w:lineRule="auto"/>
        <w:rPr>
          <w:rFonts w:ascii="Arial" w:eastAsia="Times New Roman" w:hAnsi="Arial" w:cs="Arial"/>
          <w:b/>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
          <w:bCs/>
          <w:i/>
          <w:color w:val="333333"/>
          <w:sz w:val="20"/>
          <w:szCs w:val="20"/>
          <w:shd w:val="clear" w:color="auto" w:fill="FFFFFF"/>
          <w:lang w:eastAsia="en-CA"/>
        </w:rPr>
      </w:pPr>
      <w:r w:rsidRPr="00DD175C">
        <w:rPr>
          <w:rFonts w:ascii="Arial" w:eastAsia="Times New Roman" w:hAnsi="Arial" w:cs="Arial"/>
          <w:b/>
          <w:bCs/>
          <w:i/>
          <w:color w:val="333333"/>
          <w:sz w:val="20"/>
          <w:szCs w:val="20"/>
          <w:shd w:val="clear" w:color="auto" w:fill="FFFFFF"/>
          <w:lang w:eastAsia="en-CA"/>
        </w:rPr>
        <w:t>B</w:t>
      </w:r>
      <w:r w:rsidRPr="00DD175C">
        <w:rPr>
          <w:rFonts w:ascii="Arial" w:eastAsia="Times New Roman" w:hAnsi="Arial" w:cs="Arial"/>
          <w:b/>
          <w:bCs/>
          <w:i/>
          <w:color w:val="333333"/>
          <w:sz w:val="20"/>
          <w:szCs w:val="20"/>
          <w:shd w:val="clear" w:color="auto" w:fill="FFFFFF"/>
          <w:lang w:eastAsia="en-CA"/>
        </w:rPr>
        <w:t>efore filing a discrimination complaint</w:t>
      </w:r>
      <w:r w:rsidRPr="00DD175C">
        <w:rPr>
          <w:rFonts w:ascii="Arial" w:eastAsia="Times New Roman" w:hAnsi="Arial" w:cs="Arial"/>
          <w:b/>
          <w:bCs/>
          <w:i/>
          <w:color w:val="333333"/>
          <w:sz w:val="20"/>
          <w:szCs w:val="20"/>
          <w:shd w:val="clear" w:color="auto" w:fill="FFFFFF"/>
          <w:lang w:eastAsia="en-CA"/>
        </w:rPr>
        <w:t>…</w:t>
      </w:r>
    </w:p>
    <w:p w:rsidR="00DD175C" w:rsidRPr="00DD175C" w:rsidRDefault="00DD175C" w:rsidP="00DD175C">
      <w:pPr>
        <w:spacing w:after="0" w:line="240" w:lineRule="auto"/>
        <w:rPr>
          <w:rFonts w:ascii="Arial" w:eastAsia="Times New Roman" w:hAnsi="Arial" w:cs="Arial"/>
          <w:b/>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 xml:space="preserve">If you think you have been discriminated against and are considering filing a complaint with the </w:t>
      </w:r>
      <w:r w:rsidRPr="00DD175C">
        <w:rPr>
          <w:rFonts w:ascii="Arial" w:eastAsia="Times New Roman" w:hAnsi="Arial" w:cs="Arial"/>
          <w:bCs/>
          <w:color w:val="333333"/>
          <w:sz w:val="20"/>
          <w:szCs w:val="20"/>
          <w:shd w:val="clear" w:color="auto" w:fill="FFFFFF"/>
          <w:lang w:eastAsia="en-CA"/>
        </w:rPr>
        <w:t xml:space="preserve">Provincial or </w:t>
      </w:r>
      <w:r w:rsidRPr="00DD175C">
        <w:rPr>
          <w:rFonts w:ascii="Arial" w:eastAsia="Times New Roman" w:hAnsi="Arial" w:cs="Arial"/>
          <w:bCs/>
          <w:color w:val="333333"/>
          <w:sz w:val="20"/>
          <w:szCs w:val="20"/>
          <w:shd w:val="clear" w:color="auto" w:fill="FFFFFF"/>
          <w:lang w:eastAsia="en-CA"/>
        </w:rPr>
        <w:t>Canadian Human Rights Commission, there are three things you need to know.</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1. The Commission will expect that you first try to resolve the issue where it took place.</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The Commission’s human rights officer will encourage you to try to solve the problem by using an internal dispute resolution process in your workplace, if there is one. If your complaint is with a service provider, the human rights officer will encourage you to speak to a manager or contact the customer service department, if the organization has one.</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2. Your complaint may be a provincial or territorial matter.</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 xml:space="preserve">Provinces and territories are responsible for the majority of employers and service providers in Canada. Things like restaurants, grocery stores </w:t>
      </w:r>
      <w:r w:rsidRPr="00DD175C">
        <w:rPr>
          <w:rFonts w:ascii="Arial" w:eastAsia="Times New Roman" w:hAnsi="Arial" w:cs="Arial"/>
          <w:bCs/>
          <w:color w:val="333333"/>
          <w:sz w:val="20"/>
          <w:szCs w:val="20"/>
          <w:shd w:val="clear" w:color="auto" w:fill="FFFFFF"/>
          <w:lang w:eastAsia="en-CA"/>
        </w:rPr>
        <w:t>and gas</w:t>
      </w:r>
      <w:r w:rsidRPr="00DD175C">
        <w:rPr>
          <w:rFonts w:ascii="Arial" w:eastAsia="Times New Roman" w:hAnsi="Arial" w:cs="Arial"/>
          <w:bCs/>
          <w:color w:val="333333"/>
          <w:sz w:val="20"/>
          <w:szCs w:val="20"/>
          <w:shd w:val="clear" w:color="auto" w:fill="FFFFFF"/>
          <w:lang w:eastAsia="en-CA"/>
        </w:rPr>
        <w:t xml:space="preserve"> stations fall under the responsibility of your province or territory. So be prepared to go to a Provincial and Territorial Human Rights Agencies instead.</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3. Your complaint needs to meet certain criteria to be valid.</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Not all unfair situations are valid discrimination complaints. A valid complaint requires one of 11 grounds of discrimination, a discriminatory practice, and a negative effect on you. To find out if you have a valid complaint, you can use the complaint assessment tool, or contact the Commission.</w:t>
      </w: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p>
    <w:p w:rsidR="00DD175C" w:rsidRPr="00DD175C" w:rsidRDefault="00DD175C" w:rsidP="00DD175C">
      <w:pPr>
        <w:spacing w:after="0" w:line="240" w:lineRule="auto"/>
        <w:rPr>
          <w:rFonts w:ascii="Arial" w:eastAsia="Times New Roman" w:hAnsi="Arial" w:cs="Arial"/>
          <w:bCs/>
          <w:color w:val="333333"/>
          <w:sz w:val="20"/>
          <w:szCs w:val="20"/>
          <w:shd w:val="clear" w:color="auto" w:fill="FFFFFF"/>
          <w:lang w:eastAsia="en-CA"/>
        </w:rPr>
      </w:pPr>
      <w:r w:rsidRPr="00DD175C">
        <w:rPr>
          <w:rFonts w:ascii="Arial" w:eastAsia="Times New Roman" w:hAnsi="Arial" w:cs="Arial"/>
          <w:bCs/>
          <w:color w:val="333333"/>
          <w:sz w:val="20"/>
          <w:szCs w:val="20"/>
          <w:shd w:val="clear" w:color="auto" w:fill="FFFFFF"/>
          <w:lang w:eastAsia="en-CA"/>
        </w:rPr>
        <w:t>It is also important to note that only people who are in Canada legally can file a complaint, and that your complaint must be filed with the Commission within 12 months of the incident otherwise your complaint may be refused.</w:t>
      </w:r>
    </w:p>
    <w:p w:rsidR="00DD175C" w:rsidRDefault="00DD175C">
      <w:pPr>
        <w:spacing w:after="0" w:line="240" w:lineRule="auto"/>
        <w:rPr>
          <w:rFonts w:ascii="Arial" w:eastAsia="Times New Roman" w:hAnsi="Arial" w:cs="Arial"/>
          <w:bCs/>
          <w:color w:val="333333"/>
          <w:sz w:val="20"/>
          <w:szCs w:val="20"/>
          <w:shd w:val="clear" w:color="auto" w:fill="FFFFFF"/>
          <w:lang w:eastAsia="en-CA"/>
        </w:rPr>
      </w:pPr>
    </w:p>
    <w:p w:rsidR="00DD175C" w:rsidRPr="00185306" w:rsidRDefault="00185306">
      <w:pPr>
        <w:spacing w:after="0" w:line="240" w:lineRule="auto"/>
        <w:rPr>
          <w:rFonts w:ascii="Arial" w:eastAsia="Times New Roman" w:hAnsi="Arial" w:cs="Arial"/>
          <w:b/>
          <w:bCs/>
          <w:i/>
          <w:color w:val="333333"/>
          <w:sz w:val="20"/>
          <w:szCs w:val="20"/>
          <w:shd w:val="clear" w:color="auto" w:fill="FFFFFF"/>
          <w:lang w:eastAsia="en-CA"/>
        </w:rPr>
      </w:pPr>
      <w:bookmarkStart w:id="0" w:name="_GoBack"/>
      <w:r w:rsidRPr="00185306">
        <w:rPr>
          <w:rFonts w:ascii="Arial" w:eastAsia="Times New Roman" w:hAnsi="Arial" w:cs="Arial"/>
          <w:b/>
          <w:bCs/>
          <w:i/>
          <w:color w:val="333333"/>
          <w:sz w:val="20"/>
          <w:szCs w:val="20"/>
          <w:shd w:val="clear" w:color="auto" w:fill="FFFFFF"/>
          <w:lang w:eastAsia="en-CA"/>
        </w:rPr>
        <w:t>Key elements of a Complaint</w:t>
      </w:r>
    </w:p>
    <w:bookmarkEnd w:id="0"/>
    <w:p w:rsidR="00185306" w:rsidRPr="00185306" w:rsidRDefault="00185306" w:rsidP="00185306">
      <w:pPr>
        <w:spacing w:after="0" w:line="240" w:lineRule="auto"/>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rPr>
          <w:rFonts w:ascii="Arial" w:eastAsia="Times New Roman" w:hAnsi="Arial" w:cs="Arial"/>
          <w:bCs/>
          <w:color w:val="333333"/>
          <w:sz w:val="20"/>
          <w:szCs w:val="20"/>
          <w:shd w:val="clear" w:color="auto" w:fill="FFFFFF"/>
          <w:lang w:eastAsia="en-CA"/>
        </w:rPr>
      </w:pPr>
      <w:r>
        <w:rPr>
          <w:rFonts w:ascii="Arial" w:eastAsia="Times New Roman" w:hAnsi="Arial" w:cs="Arial"/>
          <w:bCs/>
          <w:color w:val="333333"/>
          <w:sz w:val="20"/>
          <w:szCs w:val="20"/>
          <w:shd w:val="clear" w:color="auto" w:fill="FFFFFF"/>
          <w:lang w:eastAsia="en-CA"/>
        </w:rPr>
        <w:t xml:space="preserve">Generally you will need to issue a formal complaint to the respective Human Rights Commission, and it will need to contain </w:t>
      </w:r>
      <w:r w:rsidRPr="00185306">
        <w:rPr>
          <w:rFonts w:ascii="Arial" w:eastAsia="Times New Roman" w:hAnsi="Arial" w:cs="Arial"/>
          <w:bCs/>
          <w:color w:val="333333"/>
          <w:sz w:val="20"/>
          <w:szCs w:val="20"/>
          <w:shd w:val="clear" w:color="auto" w:fill="FFFFFF"/>
          <w:lang w:eastAsia="en-CA"/>
        </w:rPr>
        <w:t xml:space="preserve">3 </w:t>
      </w:r>
      <w:r>
        <w:rPr>
          <w:rFonts w:ascii="Arial" w:eastAsia="Times New Roman" w:hAnsi="Arial" w:cs="Arial"/>
          <w:bCs/>
          <w:color w:val="333333"/>
          <w:sz w:val="20"/>
          <w:szCs w:val="20"/>
          <w:shd w:val="clear" w:color="auto" w:fill="FFFFFF"/>
          <w:lang w:eastAsia="en-CA"/>
        </w:rPr>
        <w:t>essential elements</w:t>
      </w:r>
      <w:r w:rsidRPr="00185306">
        <w:rPr>
          <w:rFonts w:ascii="Arial" w:eastAsia="Times New Roman" w:hAnsi="Arial" w:cs="Arial"/>
          <w:bCs/>
          <w:color w:val="333333"/>
          <w:sz w:val="20"/>
          <w:szCs w:val="20"/>
          <w:shd w:val="clear" w:color="auto" w:fill="FFFFFF"/>
          <w:lang w:eastAsia="en-CA"/>
        </w:rPr>
        <w:t>:</w:t>
      </w:r>
    </w:p>
    <w:p w:rsidR="00185306" w:rsidRPr="00185306" w:rsidRDefault="00185306" w:rsidP="00185306">
      <w:pPr>
        <w:spacing w:after="0" w:line="240" w:lineRule="auto"/>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ind w:left="720"/>
        <w:rPr>
          <w:rFonts w:ascii="Arial" w:eastAsia="Times New Roman" w:hAnsi="Arial" w:cs="Arial"/>
          <w:b/>
          <w:bCs/>
          <w:color w:val="333333"/>
          <w:sz w:val="20"/>
          <w:szCs w:val="20"/>
          <w:shd w:val="clear" w:color="auto" w:fill="FFFFFF"/>
          <w:lang w:eastAsia="en-CA"/>
        </w:rPr>
      </w:pPr>
      <w:r w:rsidRPr="00185306">
        <w:rPr>
          <w:rFonts w:ascii="Arial" w:eastAsia="Times New Roman" w:hAnsi="Arial" w:cs="Arial"/>
          <w:b/>
          <w:bCs/>
          <w:color w:val="333333"/>
          <w:sz w:val="20"/>
          <w:szCs w:val="20"/>
          <w:shd w:val="clear" w:color="auto" w:fill="FFFFFF"/>
          <w:lang w:eastAsia="en-CA"/>
        </w:rPr>
        <w:t>WHO</w:t>
      </w: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r w:rsidRPr="00185306">
        <w:rPr>
          <w:rFonts w:ascii="Arial" w:eastAsia="Times New Roman" w:hAnsi="Arial" w:cs="Arial"/>
          <w:bCs/>
          <w:color w:val="333333"/>
          <w:sz w:val="20"/>
          <w:szCs w:val="20"/>
          <w:shd w:val="clear" w:color="auto" w:fill="FFFFFF"/>
          <w:lang w:eastAsia="en-CA"/>
        </w:rPr>
        <w:t>1. Your complaint must be about an employer or service provider that the Commission has authority over.</w:t>
      </w: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ind w:left="720"/>
        <w:rPr>
          <w:rFonts w:ascii="Arial" w:eastAsia="Times New Roman" w:hAnsi="Arial" w:cs="Arial"/>
          <w:b/>
          <w:bCs/>
          <w:color w:val="333333"/>
          <w:sz w:val="20"/>
          <w:szCs w:val="20"/>
          <w:shd w:val="clear" w:color="auto" w:fill="FFFFFF"/>
          <w:lang w:eastAsia="en-CA"/>
        </w:rPr>
      </w:pPr>
      <w:r w:rsidRPr="00185306">
        <w:rPr>
          <w:rFonts w:ascii="Arial" w:eastAsia="Times New Roman" w:hAnsi="Arial" w:cs="Arial"/>
          <w:b/>
          <w:bCs/>
          <w:color w:val="333333"/>
          <w:sz w:val="20"/>
          <w:szCs w:val="20"/>
          <w:shd w:val="clear" w:color="auto" w:fill="FFFFFF"/>
          <w:lang w:eastAsia="en-CA"/>
        </w:rPr>
        <w:t>WHAT</w:t>
      </w: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r w:rsidRPr="00185306">
        <w:rPr>
          <w:rFonts w:ascii="Arial" w:eastAsia="Times New Roman" w:hAnsi="Arial" w:cs="Arial"/>
          <w:bCs/>
          <w:color w:val="333333"/>
          <w:sz w:val="20"/>
          <w:szCs w:val="20"/>
          <w:shd w:val="clear" w:color="auto" w:fill="FFFFFF"/>
          <w:lang w:eastAsia="en-CA"/>
        </w:rPr>
        <w:t>2. Your complaint must be about conduct or behaviour that is a discriminatory practice, and</w:t>
      </w: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p>
    <w:p w:rsidR="00185306" w:rsidRPr="00185306" w:rsidRDefault="00185306" w:rsidP="00185306">
      <w:pPr>
        <w:spacing w:after="0" w:line="240" w:lineRule="auto"/>
        <w:ind w:left="720"/>
        <w:rPr>
          <w:rFonts w:ascii="Arial" w:eastAsia="Times New Roman" w:hAnsi="Arial" w:cs="Arial"/>
          <w:b/>
          <w:bCs/>
          <w:color w:val="333333"/>
          <w:sz w:val="20"/>
          <w:szCs w:val="20"/>
          <w:shd w:val="clear" w:color="auto" w:fill="FFFFFF"/>
          <w:lang w:eastAsia="en-CA"/>
        </w:rPr>
      </w:pPr>
      <w:r w:rsidRPr="00185306">
        <w:rPr>
          <w:rFonts w:ascii="Arial" w:eastAsia="Times New Roman" w:hAnsi="Arial" w:cs="Arial"/>
          <w:b/>
          <w:bCs/>
          <w:color w:val="333333"/>
          <w:sz w:val="20"/>
          <w:szCs w:val="20"/>
          <w:shd w:val="clear" w:color="auto" w:fill="FFFFFF"/>
          <w:lang w:eastAsia="en-CA"/>
        </w:rPr>
        <w:t>WHY</w:t>
      </w:r>
    </w:p>
    <w:p w:rsidR="00185306" w:rsidRPr="00185306"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p>
    <w:p w:rsidR="00185306" w:rsidRPr="00DD175C" w:rsidRDefault="00185306" w:rsidP="00185306">
      <w:pPr>
        <w:spacing w:after="0" w:line="240" w:lineRule="auto"/>
        <w:ind w:left="720"/>
        <w:rPr>
          <w:rFonts w:ascii="Arial" w:eastAsia="Times New Roman" w:hAnsi="Arial" w:cs="Arial"/>
          <w:bCs/>
          <w:color w:val="333333"/>
          <w:sz w:val="20"/>
          <w:szCs w:val="20"/>
          <w:shd w:val="clear" w:color="auto" w:fill="FFFFFF"/>
          <w:lang w:eastAsia="en-CA"/>
        </w:rPr>
      </w:pPr>
      <w:r w:rsidRPr="00185306">
        <w:rPr>
          <w:rFonts w:ascii="Arial" w:eastAsia="Times New Roman" w:hAnsi="Arial" w:cs="Arial"/>
          <w:bCs/>
          <w:color w:val="333333"/>
          <w:sz w:val="20"/>
          <w:szCs w:val="20"/>
          <w:shd w:val="clear" w:color="auto" w:fill="FFFFFF"/>
          <w:lang w:eastAsia="en-CA"/>
        </w:rPr>
        <w:t>3. The behaviour you are complaining about must be related to one of the grounds of discrimination.</w:t>
      </w:r>
    </w:p>
    <w:sectPr w:rsidR="00185306" w:rsidRPr="00DD175C">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34C9" w:rsidRDefault="009F34C9" w:rsidP="00BE7C81">
      <w:pPr>
        <w:spacing w:after="0" w:line="240" w:lineRule="auto"/>
      </w:pPr>
      <w:r>
        <w:separator/>
      </w:r>
    </w:p>
  </w:endnote>
  <w:endnote w:type="continuationSeparator" w:id="0">
    <w:p w:rsidR="009F34C9" w:rsidRDefault="009F34C9" w:rsidP="00BE7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681481"/>
      <w:docPartObj>
        <w:docPartGallery w:val="Page Numbers (Bottom of Page)"/>
        <w:docPartUnique/>
      </w:docPartObj>
    </w:sdtPr>
    <w:sdtEndPr>
      <w:rPr>
        <w:color w:val="7F7F7F" w:themeColor="background1" w:themeShade="7F"/>
        <w:spacing w:val="60"/>
      </w:rPr>
    </w:sdtEndPr>
    <w:sdtContent>
      <w:p w:rsidR="00BE7C81" w:rsidRDefault="00BE7C81">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F34C9" w:rsidRPr="009F34C9">
          <w:rPr>
            <w:b/>
            <w:bCs/>
            <w:noProof/>
          </w:rPr>
          <w:t>1</w:t>
        </w:r>
        <w:r>
          <w:rPr>
            <w:b/>
            <w:bCs/>
            <w:noProof/>
          </w:rPr>
          <w:fldChar w:fldCharType="end"/>
        </w:r>
        <w:r>
          <w:rPr>
            <w:b/>
            <w:bCs/>
          </w:rPr>
          <w:t xml:space="preserve"> | </w:t>
        </w:r>
        <w:r>
          <w:rPr>
            <w:color w:val="7F7F7F" w:themeColor="background1" w:themeShade="7F"/>
            <w:spacing w:val="60"/>
          </w:rPr>
          <w:t>Page</w:t>
        </w:r>
      </w:p>
    </w:sdtContent>
  </w:sdt>
  <w:p w:rsidR="00BE7C81" w:rsidRDefault="00BE7C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34C9" w:rsidRDefault="009F34C9" w:rsidP="00BE7C81">
      <w:pPr>
        <w:spacing w:after="0" w:line="240" w:lineRule="auto"/>
      </w:pPr>
      <w:r>
        <w:separator/>
      </w:r>
    </w:p>
  </w:footnote>
  <w:footnote w:type="continuationSeparator" w:id="0">
    <w:p w:rsidR="009F34C9" w:rsidRDefault="009F34C9" w:rsidP="00BE7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80E64"/>
    <w:multiLevelType w:val="hybridMultilevel"/>
    <w:tmpl w:val="68806E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85D0244"/>
    <w:multiLevelType w:val="multilevel"/>
    <w:tmpl w:val="3A786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5514D3A"/>
    <w:multiLevelType w:val="hybridMultilevel"/>
    <w:tmpl w:val="C00281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4EB659EB"/>
    <w:multiLevelType w:val="hybridMultilevel"/>
    <w:tmpl w:val="CA9C76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57384AF3"/>
    <w:multiLevelType w:val="hybridMultilevel"/>
    <w:tmpl w:val="2410E5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5C057AC1"/>
    <w:multiLevelType w:val="hybridMultilevel"/>
    <w:tmpl w:val="37587BE6"/>
    <w:lvl w:ilvl="0" w:tplc="10090001">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8">
    <w:nsid w:val="5DA1352A"/>
    <w:multiLevelType w:val="hybridMultilevel"/>
    <w:tmpl w:val="E0EA34D4"/>
    <w:lvl w:ilvl="0" w:tplc="A8C2B9A0">
      <w:start w:val="1"/>
      <w:numFmt w:val="decimal"/>
      <w:lvlText w:val="%1)"/>
      <w:lvlJc w:val="left"/>
      <w:pPr>
        <w:ind w:left="720" w:hanging="360"/>
      </w:pPr>
      <w:rPr>
        <w:rFonts w:asciiTheme="majorHAnsi" w:eastAsiaTheme="majorEastAsia" w:hAnsiTheme="majorHAnsi" w:cstheme="majorBidi" w:hint="default"/>
        <w:i/>
        <w:color w:val="5B9BD5" w:themeColor="accent1"/>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FEE7F23"/>
    <w:multiLevelType w:val="hybridMultilevel"/>
    <w:tmpl w:val="8F5E7C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66744F13"/>
    <w:multiLevelType w:val="hybridMultilevel"/>
    <w:tmpl w:val="425070AC"/>
    <w:lvl w:ilvl="0" w:tplc="F70E636A">
      <w:start w:val="1"/>
      <w:numFmt w:val="decimal"/>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1">
    <w:nsid w:val="67947185"/>
    <w:multiLevelType w:val="multilevel"/>
    <w:tmpl w:val="AA74AD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B474474"/>
    <w:multiLevelType w:val="hybridMultilevel"/>
    <w:tmpl w:val="8F4CE0FC"/>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6CC176CF"/>
    <w:multiLevelType w:val="multilevel"/>
    <w:tmpl w:val="4F5A81D0"/>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o"/>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16">
    <w:nsid w:val="70DE3E5C"/>
    <w:multiLevelType w:val="hybridMultilevel"/>
    <w:tmpl w:val="27D8D1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8"/>
  </w:num>
  <w:num w:numId="4">
    <w:abstractNumId w:val="7"/>
  </w:num>
  <w:num w:numId="5">
    <w:abstractNumId w:val="10"/>
  </w:num>
  <w:num w:numId="6">
    <w:abstractNumId w:val="16"/>
  </w:num>
  <w:num w:numId="7">
    <w:abstractNumId w:val="6"/>
  </w:num>
  <w:num w:numId="8">
    <w:abstractNumId w:val="12"/>
  </w:num>
  <w:num w:numId="9">
    <w:abstractNumId w:val="2"/>
  </w:num>
  <w:num w:numId="10">
    <w:abstractNumId w:val="3"/>
  </w:num>
  <w:num w:numId="11">
    <w:abstractNumId w:val="9"/>
  </w:num>
  <w:num w:numId="12">
    <w:abstractNumId w:val="4"/>
  </w:num>
  <w:num w:numId="13">
    <w:abstractNumId w:val="13"/>
  </w:num>
  <w:num w:numId="14">
    <w:abstractNumId w:val="1"/>
  </w:num>
  <w:num w:numId="15">
    <w:abstractNumId w:val="11"/>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6933"/>
    <w:rsid w:val="00106091"/>
    <w:rsid w:val="00121CBA"/>
    <w:rsid w:val="00172178"/>
    <w:rsid w:val="00185306"/>
    <w:rsid w:val="00247138"/>
    <w:rsid w:val="00267B52"/>
    <w:rsid w:val="00280938"/>
    <w:rsid w:val="002C1090"/>
    <w:rsid w:val="002E5475"/>
    <w:rsid w:val="003146E6"/>
    <w:rsid w:val="003B5029"/>
    <w:rsid w:val="003E64D0"/>
    <w:rsid w:val="004218D8"/>
    <w:rsid w:val="004F1D3D"/>
    <w:rsid w:val="004F22BF"/>
    <w:rsid w:val="00624533"/>
    <w:rsid w:val="00650FD9"/>
    <w:rsid w:val="00755825"/>
    <w:rsid w:val="00781904"/>
    <w:rsid w:val="007B3EFE"/>
    <w:rsid w:val="007D3A70"/>
    <w:rsid w:val="00846933"/>
    <w:rsid w:val="008928BF"/>
    <w:rsid w:val="008B33C9"/>
    <w:rsid w:val="008B5719"/>
    <w:rsid w:val="008F7FA2"/>
    <w:rsid w:val="00914767"/>
    <w:rsid w:val="009875DA"/>
    <w:rsid w:val="009B1D3B"/>
    <w:rsid w:val="009F34C9"/>
    <w:rsid w:val="00B00310"/>
    <w:rsid w:val="00BE7C81"/>
    <w:rsid w:val="00C301D3"/>
    <w:rsid w:val="00C53059"/>
    <w:rsid w:val="00D473DC"/>
    <w:rsid w:val="00D81FBE"/>
    <w:rsid w:val="00DD175C"/>
    <w:rsid w:val="00DD2414"/>
    <w:rsid w:val="00E84AFD"/>
    <w:rsid w:val="00E974E9"/>
    <w:rsid w:val="00EA18D0"/>
    <w:rsid w:val="00F57184"/>
    <w:rsid w:val="00F6521A"/>
    <w:rsid w:val="00F66992"/>
    <w:rsid w:val="00F8605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07F9BF-C3B9-4D92-8CC4-D07884DA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69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47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218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933"/>
    <w:pPr>
      <w:ind w:left="720"/>
      <w:contextualSpacing/>
    </w:pPr>
  </w:style>
  <w:style w:type="character" w:styleId="Hyperlink">
    <w:name w:val="Hyperlink"/>
    <w:basedOn w:val="DefaultParagraphFont"/>
    <w:uiPriority w:val="99"/>
    <w:unhideWhenUsed/>
    <w:rsid w:val="00846933"/>
    <w:rPr>
      <w:color w:val="0563C1" w:themeColor="hyperlink"/>
      <w:u w:val="single"/>
    </w:rPr>
  </w:style>
  <w:style w:type="character" w:customStyle="1" w:styleId="Heading1Char">
    <w:name w:val="Heading 1 Char"/>
    <w:basedOn w:val="DefaultParagraphFont"/>
    <w:link w:val="Heading1"/>
    <w:uiPriority w:val="9"/>
    <w:rsid w:val="00846933"/>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EA18D0"/>
    <w:pPr>
      <w:spacing w:after="0" w:line="240" w:lineRule="auto"/>
    </w:pPr>
  </w:style>
  <w:style w:type="character" w:customStyle="1" w:styleId="Heading2Char">
    <w:name w:val="Heading 2 Char"/>
    <w:basedOn w:val="DefaultParagraphFont"/>
    <w:link w:val="Heading2"/>
    <w:uiPriority w:val="9"/>
    <w:rsid w:val="0091476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218D8"/>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BE7C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C81"/>
  </w:style>
  <w:style w:type="paragraph" w:styleId="Footer">
    <w:name w:val="footer"/>
    <w:basedOn w:val="Normal"/>
    <w:link w:val="FooterChar"/>
    <w:uiPriority w:val="99"/>
    <w:unhideWhenUsed/>
    <w:rsid w:val="00BE7C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C81"/>
  </w:style>
  <w:style w:type="table" w:styleId="TableGrid">
    <w:name w:val="Table Grid"/>
    <w:basedOn w:val="TableNormal"/>
    <w:uiPriority w:val="39"/>
    <w:rsid w:val="00F66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alysispara">
    <w:name w:val="analysispara"/>
    <w:basedOn w:val="Normal"/>
    <w:rsid w:val="002C1090"/>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2C1090"/>
  </w:style>
  <w:style w:type="character" w:styleId="FollowedHyperlink">
    <w:name w:val="FollowedHyperlink"/>
    <w:basedOn w:val="DefaultParagraphFont"/>
    <w:uiPriority w:val="99"/>
    <w:semiHidden/>
    <w:unhideWhenUsed/>
    <w:rsid w:val="002E54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774193">
      <w:bodyDiv w:val="1"/>
      <w:marLeft w:val="0"/>
      <w:marRight w:val="0"/>
      <w:marTop w:val="0"/>
      <w:marBottom w:val="0"/>
      <w:divBdr>
        <w:top w:val="none" w:sz="0" w:space="0" w:color="auto"/>
        <w:left w:val="none" w:sz="0" w:space="0" w:color="auto"/>
        <w:bottom w:val="none" w:sz="0" w:space="0" w:color="auto"/>
        <w:right w:val="none" w:sz="0" w:space="0" w:color="auto"/>
      </w:divBdr>
    </w:div>
    <w:div w:id="998070681">
      <w:bodyDiv w:val="1"/>
      <w:marLeft w:val="0"/>
      <w:marRight w:val="0"/>
      <w:marTop w:val="0"/>
      <w:marBottom w:val="0"/>
      <w:divBdr>
        <w:top w:val="none" w:sz="0" w:space="0" w:color="auto"/>
        <w:left w:val="none" w:sz="0" w:space="0" w:color="auto"/>
        <w:bottom w:val="none" w:sz="0" w:space="0" w:color="auto"/>
        <w:right w:val="none" w:sz="0" w:space="0" w:color="auto"/>
      </w:divBdr>
    </w:div>
    <w:div w:id="1104836617">
      <w:bodyDiv w:val="1"/>
      <w:marLeft w:val="0"/>
      <w:marRight w:val="0"/>
      <w:marTop w:val="0"/>
      <w:marBottom w:val="0"/>
      <w:divBdr>
        <w:top w:val="none" w:sz="0" w:space="0" w:color="auto"/>
        <w:left w:val="none" w:sz="0" w:space="0" w:color="auto"/>
        <w:bottom w:val="none" w:sz="0" w:space="0" w:color="auto"/>
        <w:right w:val="none" w:sz="0" w:space="0" w:color="auto"/>
      </w:divBdr>
    </w:div>
    <w:div w:id="1235161378">
      <w:bodyDiv w:val="1"/>
      <w:marLeft w:val="0"/>
      <w:marRight w:val="0"/>
      <w:marTop w:val="0"/>
      <w:marBottom w:val="0"/>
      <w:divBdr>
        <w:top w:val="none" w:sz="0" w:space="0" w:color="auto"/>
        <w:left w:val="none" w:sz="0" w:space="0" w:color="auto"/>
        <w:bottom w:val="none" w:sz="0" w:space="0" w:color="auto"/>
        <w:right w:val="none" w:sz="0" w:space="0" w:color="auto"/>
      </w:divBdr>
    </w:div>
    <w:div w:id="1363896724">
      <w:bodyDiv w:val="1"/>
      <w:marLeft w:val="0"/>
      <w:marRight w:val="0"/>
      <w:marTop w:val="0"/>
      <w:marBottom w:val="0"/>
      <w:divBdr>
        <w:top w:val="none" w:sz="0" w:space="0" w:color="auto"/>
        <w:left w:val="none" w:sz="0" w:space="0" w:color="auto"/>
        <w:bottom w:val="none" w:sz="0" w:space="0" w:color="auto"/>
        <w:right w:val="none" w:sz="0" w:space="0" w:color="auto"/>
      </w:divBdr>
    </w:div>
    <w:div w:id="160900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nl.ca/lra/faq/labourstandard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limmigration.ca/media/2839/employmentstandards.pd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hrc-ccdp.ca/eng/content/employment-equity" TargetMode="External"/><Relationship Id="rId5" Type="http://schemas.openxmlformats.org/officeDocument/2006/relationships/footnotes" Target="footnotes.xml"/><Relationship Id="rId10" Type="http://schemas.openxmlformats.org/officeDocument/2006/relationships/hyperlink" Target="http://www.labour.gc.ca/eng/standards_equity/eq/emp/tools/" TargetMode="External"/><Relationship Id="rId4" Type="http://schemas.openxmlformats.org/officeDocument/2006/relationships/webSettings" Target="webSettings.xml"/><Relationship Id="rId9" Type="http://schemas.openxmlformats.org/officeDocument/2006/relationships/hyperlink" Target="http://laws-lois.justice.gc.ca/eng/acts/E-5.40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3</Pages>
  <Words>793</Words>
  <Characters>4526</Characters>
  <Application>Microsoft Office Word</Application>
  <DocSecurity>0</DocSecurity>
  <Lines>37</Lines>
  <Paragraphs>10</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LW1210 - Labour and Employment Law</vt:lpstr>
      <vt:lpstr>UNIT 2 – Employment Law – CHAPTER 9 – Equity in the Workplace</vt:lpstr>
      <vt:lpstr>Employment Equity in Newfoundland and Labrador </vt:lpstr>
      <vt:lpstr>Filing a Complaint</vt:lpstr>
    </vt:vector>
  </TitlesOfParts>
  <Company/>
  <LinksUpToDate>false</LinksUpToDate>
  <CharactersWithSpaces>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6</cp:revision>
  <dcterms:created xsi:type="dcterms:W3CDTF">2015-01-30T17:58:00Z</dcterms:created>
  <dcterms:modified xsi:type="dcterms:W3CDTF">2015-02-03T14:51:00Z</dcterms:modified>
</cp:coreProperties>
</file>