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5F" w:rsidRPr="00820D5F" w:rsidRDefault="00820D5F" w:rsidP="00820D5F">
      <w:pPr>
        <w:spacing w:after="0" w:line="240" w:lineRule="auto"/>
        <w:rPr>
          <w:rFonts w:ascii="Arial" w:eastAsia="Times New Roman" w:hAnsi="Arial" w:cs="Arial"/>
          <w:color w:val="003366"/>
          <w:sz w:val="36"/>
          <w:szCs w:val="36"/>
        </w:rPr>
      </w:pPr>
      <w:r w:rsidRPr="00820D5F">
        <w:rPr>
          <w:rFonts w:ascii="Arial" w:eastAsia="Times New Roman" w:hAnsi="Arial" w:cs="Arial"/>
          <w:color w:val="003366"/>
          <w:sz w:val="36"/>
          <w:szCs w:val="36"/>
        </w:rPr>
        <w:t>MR2100 – Marketing II</w:t>
      </w:r>
    </w:p>
    <w:p w:rsidR="00820D5F" w:rsidRPr="00820D5F" w:rsidRDefault="00820D5F" w:rsidP="00820D5F">
      <w:pPr>
        <w:spacing w:after="0" w:line="240" w:lineRule="auto"/>
        <w:rPr>
          <w:rFonts w:ascii="Arial" w:eastAsia="Times New Roman" w:hAnsi="Arial" w:cs="Arial"/>
          <w:color w:val="003366"/>
          <w:sz w:val="28"/>
          <w:szCs w:val="36"/>
        </w:rPr>
      </w:pPr>
      <w:r w:rsidRPr="00820D5F">
        <w:rPr>
          <w:rFonts w:ascii="Arial" w:eastAsia="Times New Roman" w:hAnsi="Arial" w:cs="Arial"/>
          <w:color w:val="003366"/>
          <w:sz w:val="28"/>
          <w:szCs w:val="36"/>
        </w:rPr>
        <w:t>Paul Tilley</w:t>
      </w:r>
    </w:p>
    <w:p w:rsidR="00820D5F" w:rsidRPr="00820D5F" w:rsidRDefault="00820D5F" w:rsidP="00820D5F">
      <w:pPr>
        <w:spacing w:after="0" w:line="240" w:lineRule="auto"/>
        <w:rPr>
          <w:rFonts w:ascii="Arial" w:eastAsia="Times New Roman" w:hAnsi="Arial" w:cs="Arial"/>
          <w:color w:val="003366"/>
          <w:sz w:val="36"/>
          <w:szCs w:val="36"/>
        </w:rPr>
      </w:pPr>
    </w:p>
    <w:p w:rsidR="00820D5F" w:rsidRPr="00820D5F" w:rsidRDefault="00820D5F" w:rsidP="00820D5F">
      <w:pPr>
        <w:spacing w:after="0" w:line="240" w:lineRule="auto"/>
        <w:rPr>
          <w:rFonts w:ascii="Verdana" w:eastAsia="Times New Roman" w:hAnsi="Verdana" w:cs="Times New Roman"/>
          <w:color w:val="003366"/>
          <w:sz w:val="17"/>
          <w:szCs w:val="17"/>
        </w:rPr>
      </w:pPr>
    </w:p>
    <w:tbl>
      <w:tblPr>
        <w:tblW w:w="945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6"/>
        <w:gridCol w:w="9259"/>
        <w:gridCol w:w="95"/>
      </w:tblGrid>
      <w:tr w:rsidR="00820D5F" w:rsidRPr="00820D5F" w:rsidTr="00BD1989">
        <w:trPr>
          <w:trHeight w:val="900"/>
        </w:trPr>
        <w:tc>
          <w:tcPr>
            <w:tcW w:w="96" w:type="dxa"/>
            <w:vAlign w:val="center"/>
            <w:hideMark/>
          </w:tcPr>
          <w:p w:rsidR="00820D5F" w:rsidRPr="00820D5F" w:rsidRDefault="00820D5F" w:rsidP="00820D5F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9354" w:type="dxa"/>
            <w:gridSpan w:val="2"/>
            <w:vAlign w:val="center"/>
            <w:hideMark/>
          </w:tcPr>
          <w:p w:rsidR="00820D5F" w:rsidRPr="00820D5F" w:rsidRDefault="00820D5F" w:rsidP="00BD1989">
            <w:pPr>
              <w:spacing w:after="0" w:line="240" w:lineRule="auto"/>
              <w:rPr>
                <w:rFonts w:ascii="Verdana" w:eastAsia="Times New Roman" w:hAnsi="Verdana" w:cs="Times New Roman"/>
                <w:i/>
                <w:color w:val="003366"/>
                <w:sz w:val="17"/>
                <w:szCs w:val="17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>Chapter 1</w:t>
            </w:r>
            <w:r w:rsidR="008B5961"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>1</w:t>
            </w:r>
            <w:r w:rsidRPr="00820D5F"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 xml:space="preserve">: </w:t>
            </w:r>
            <w:r w:rsidR="008B5961"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 xml:space="preserve">Managing </w:t>
            </w:r>
            <w:r w:rsidRPr="00820D5F"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>Product</w:t>
            </w:r>
            <w:r w:rsidR="00BD1989"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>s and Branding</w:t>
            </w:r>
            <w:r w:rsidRPr="00820D5F">
              <w:rPr>
                <w:rFonts w:ascii="Arial" w:eastAsia="Times New Roman" w:hAnsi="Arial" w:cs="Arial"/>
                <w:b/>
                <w:bCs/>
                <w:i/>
                <w:color w:val="003366"/>
                <w:sz w:val="27"/>
              </w:rPr>
              <w:t xml:space="preserve"> </w:t>
            </w:r>
          </w:p>
        </w:tc>
      </w:tr>
      <w:tr w:rsidR="00820D5F" w:rsidRPr="00820D5F" w:rsidTr="00BD1989">
        <w:tc>
          <w:tcPr>
            <w:tcW w:w="96" w:type="dxa"/>
            <w:vAlign w:val="center"/>
            <w:hideMark/>
          </w:tcPr>
          <w:p w:rsidR="00820D5F" w:rsidRPr="00820D5F" w:rsidRDefault="00820D5F" w:rsidP="00820D5F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9259" w:type="dxa"/>
            <w:vAlign w:val="center"/>
            <w:hideMark/>
          </w:tcPr>
          <w:tbl>
            <w:tblPr>
              <w:tblW w:w="9000" w:type="dxa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052"/>
              <w:gridCol w:w="8117"/>
            </w:tblGrid>
            <w:tr w:rsidR="00BD1989" w:rsidTr="00BD1989">
              <w:trPr>
                <w:gridAfter w:val="1"/>
                <w:wAfter w:w="7831" w:type="dxa"/>
              </w:trPr>
              <w:tc>
                <w:tcPr>
                  <w:tcW w:w="1169" w:type="dxa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Learning Objectives: </w:t>
                  </w:r>
                </w:p>
              </w:tc>
            </w:tr>
            <w:tr w:rsidR="00BD1989" w:rsidTr="00BD1989">
              <w:tc>
                <w:tcPr>
                  <w:tcW w:w="1169" w:type="dxa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  <w:tc>
                <w:tcPr>
                  <w:tcW w:w="7831" w:type="dxa"/>
                  <w:vAlign w:val="center"/>
                  <w:hideMark/>
                </w:tcPr>
                <w:p w:rsidR="00BD1989" w:rsidRDefault="00BD1989">
                  <w:pPr>
                    <w:pStyle w:val="NormalWeb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Emphasis"/>
                      <w:rFonts w:ascii="Arial" w:hAnsi="Arial" w:cs="Arial"/>
                      <w:sz w:val="20"/>
                      <w:szCs w:val="20"/>
                    </w:rPr>
                    <w:t>Upon completion of this unit the learner should be able to:</w:t>
                  </w:r>
                </w:p>
                <w:p w:rsidR="00BD1989" w:rsidRPr="000761A3" w:rsidRDefault="00BD1989" w:rsidP="00BD1989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61A3">
                    <w:rPr>
                      <w:rFonts w:ascii="Arial" w:hAnsi="Arial" w:cs="Arial"/>
                      <w:sz w:val="20"/>
                      <w:szCs w:val="20"/>
                    </w:rPr>
                    <w:t xml:space="preserve">Explain the product life cycle. </w:t>
                  </w:r>
                </w:p>
                <w:p w:rsidR="00BD1989" w:rsidRPr="000761A3" w:rsidRDefault="00BD1989" w:rsidP="00BD1989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61A3">
                    <w:rPr>
                      <w:rFonts w:ascii="Arial" w:hAnsi="Arial" w:cs="Arial"/>
                      <w:sz w:val="20"/>
                      <w:szCs w:val="20"/>
                    </w:rPr>
                    <w:t>Explain how manage product’s life cycles.</w:t>
                  </w:r>
                </w:p>
                <w:p w:rsidR="00BD1989" w:rsidRPr="000761A3" w:rsidRDefault="00BD1989" w:rsidP="00BD1989">
                  <w:pPr>
                    <w:numPr>
                      <w:ilvl w:val="0"/>
                      <w:numId w:val="10"/>
                    </w:numPr>
                    <w:spacing w:before="100" w:beforeAutospacing="1" w:after="100" w:afterAutospacing="1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0761A3">
                    <w:rPr>
                      <w:rFonts w:ascii="Arial" w:hAnsi="Arial" w:cs="Arial"/>
                      <w:sz w:val="20"/>
                      <w:szCs w:val="20"/>
                    </w:rPr>
                    <w:t xml:space="preserve">Study the role of branding in a product’s life. </w:t>
                  </w:r>
                </w:p>
                <w:p w:rsidR="00BD1989" w:rsidRPr="000761A3" w:rsidRDefault="00BD1989" w:rsidP="00BD1989">
                  <w:pPr>
                    <w:numPr>
                      <w:ilvl w:val="0"/>
                      <w:numId w:val="10"/>
                    </w:numPr>
                    <w:spacing w:before="100" w:beforeAutospacing="1" w:after="240" w:line="240" w:lineRule="auto"/>
                    <w:rPr>
                      <w:rFonts w:ascii="Arial" w:hAnsi="Arial" w:cs="Arial"/>
                      <w:color w:val="003366"/>
                      <w:sz w:val="20"/>
                      <w:szCs w:val="20"/>
                    </w:rPr>
                  </w:pPr>
                  <w:r w:rsidRPr="000761A3">
                    <w:rPr>
                      <w:rFonts w:ascii="Arial" w:hAnsi="Arial" w:cs="Arial"/>
                      <w:sz w:val="20"/>
                      <w:szCs w:val="20"/>
                    </w:rPr>
                    <w:t>Study the role of packaging.</w:t>
                  </w:r>
                </w:p>
                <w:p w:rsidR="00BD1989" w:rsidRDefault="00BD1989" w:rsidP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  <w:tbl>
                  <w:tblPr>
                    <w:tblW w:w="9000" w:type="dxa"/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/>
                  </w:tblPr>
                  <w:tblGrid>
                    <w:gridCol w:w="9000"/>
                  </w:tblGrid>
                  <w:tr w:rsidR="00BD1989" w:rsidTr="00FA51FA">
                    <w:tc>
                      <w:tcPr>
                        <w:tcW w:w="0" w:type="auto"/>
                        <w:shd w:val="clear" w:color="auto" w:fill="EEF7F7"/>
                        <w:vAlign w:val="center"/>
                        <w:hideMark/>
                      </w:tcPr>
                      <w:p w:rsidR="00BD1989" w:rsidRDefault="00BD1989" w:rsidP="00FA51FA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7"/>
                            <w:szCs w:val="27"/>
                          </w:rPr>
                          <w:t>The Product Life Cycle Graph</w:t>
                        </w:r>
                      </w:p>
                    </w:tc>
                  </w:tr>
                  <w:tr w:rsidR="00BD1989" w:rsidTr="00FA51FA">
                    <w:tc>
                      <w:tcPr>
                        <w:tcW w:w="0" w:type="auto"/>
                        <w:hideMark/>
                      </w:tcPr>
                      <w:p w:rsidR="00BD1989" w:rsidRDefault="00BD1989" w:rsidP="00FA51FA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17"/>
                            <w:szCs w:val="17"/>
                          </w:rPr>
                          <w:br/>
                        </w:r>
                        <w:r>
                          <w:rPr>
                            <w:rFonts w:ascii="Arial" w:hAnsi="Arial" w:cs="Arial"/>
                            <w:noProof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638675" cy="3133725"/>
                              <wp:effectExtent l="19050" t="0" r="9525" b="0"/>
                              <wp:docPr id="58" name="Picture 9" descr="https://d2l.cna.nl.ca/content/W09/MR2100_W09/images/product_lifecycle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s://d2l.cna.nl.ca/content/W09/MR2100_W09/images/product_lifecycle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638675" cy="31337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D1989" w:rsidRDefault="00BD1989" w:rsidP="00BD1989">
                  <w:pPr>
                    <w:spacing w:before="100" w:beforeAutospacing="1" w:after="240" w:line="240" w:lineRule="auto"/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</w:tr>
            <w:tr w:rsidR="00BD1989" w:rsidTr="00BD1989">
              <w:tc>
                <w:tcPr>
                  <w:tcW w:w="1169" w:type="dxa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  <w:tc>
                <w:tcPr>
                  <w:tcW w:w="7831" w:type="dxa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The Stages of the Product Life Cycle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The Stages of the Product Life Cycle 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 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tbl>
                  <w:tblPr>
                    <w:tblW w:w="4500" w:type="pct"/>
                    <w:jc w:val="center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960"/>
                    <w:gridCol w:w="7086"/>
                  </w:tblGrid>
                  <w:tr w:rsidR="00BD1989">
                    <w:trPr>
                      <w:jc w:val="center"/>
                    </w:trPr>
                    <w:tc>
                      <w:tcPr>
                        <w:tcW w:w="79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504825" cy="647700"/>
                              <wp:effectExtent l="0" t="0" r="9525" b="0"/>
                              <wp:docPr id="50" name="Picture 5" descr="https://d2l.cna.nl.ca/content/W09/MR2100_W09/images/11Goods_clip_image00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s://d2l.cna.nl.ca/content/W09/MR2100_W09/images/11Goods_clip_image00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4825" cy="647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870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Introduction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is an unknown entity in the marketplace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sales are building but there is no profit being made on the sales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point of advertising is to make the consumer aware of the product and to inform them of its use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there is little or no competition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price is set either low (so as to penetrate the market and sell large quantities) or high (so as to recognize that few may be sold but a large profit will be skimmed from each product sold.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is only sold in a relatively few outlets and is not widely available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1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there are few if only one model of the product</w:t>
                        </w:r>
                      </w:p>
                    </w:tc>
                  </w:tr>
                  <w:tr w:rsidR="00BD1989">
                    <w:trPr>
                      <w:jc w:val="center"/>
                    </w:trPr>
                    <w:tc>
                      <w:tcPr>
                        <w:tcW w:w="79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504825" cy="676275"/>
                              <wp:effectExtent l="19050" t="0" r="9525" b="0"/>
                              <wp:docPr id="49" name="Picture 6" descr="https://d2l.cna.nl.ca/content/W09/MR2100_W09/images/11Goods_clip_image002_0000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s://d2l.cna.nl.ca/content/W09/MR2100_W09/images/11Goods_clip_image002_0000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4825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Growth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is becoming better known in the marketplace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sales and profits are beginning to rise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competition is growing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point of advertising is to make the consumer aware of the differences that exist in their product and competitive products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price is set to gain/maximize market share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is sold in progressively more outlets and is becoming more common in certain stores however it is not widely available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2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more product models available</w:t>
                        </w:r>
                      </w:p>
                    </w:tc>
                  </w:tr>
                  <w:tr w:rsidR="00BD1989">
                    <w:trPr>
                      <w:jc w:val="center"/>
                    </w:trPr>
                    <w:tc>
                      <w:tcPr>
                        <w:tcW w:w="79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504825" cy="695325"/>
                              <wp:effectExtent l="19050" t="0" r="9525" b="0"/>
                              <wp:docPr id="48" name="Picture 7" descr="https://d2l.cna.nl.ca/content/W09/MR2100_W09/images/11Goods_clip_image002_000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s://d2l.cna.nl.ca/content/W09/MR2100_W09/images/11Goods_clip_image002_000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4825" cy="695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Maturity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3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sales and profits have maximized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3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people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are buying their second unit now so the goal is to maintain brand loyalty.  Advertising is reminder-oriented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3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number of competitors have maximized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3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many models of the product are available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3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is available in the maximum number of outlets</w:t>
                        </w:r>
                      </w:p>
                    </w:tc>
                  </w:tr>
                  <w:tr w:rsidR="00BD1989">
                    <w:trPr>
                      <w:jc w:val="center"/>
                    </w:trPr>
                    <w:tc>
                      <w:tcPr>
                        <w:tcW w:w="79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lastRenderedPageBreak/>
                          <w:drawing>
                            <wp:inline distT="0" distB="0" distL="0" distR="0">
                              <wp:extent cx="504825" cy="666750"/>
                              <wp:effectExtent l="0" t="0" r="9525" b="0"/>
                              <wp:docPr id="47" name="Picture 8" descr="https://d2l.cna.nl.ca/content/W09/MR2100_W09/images/11Goods_clip_image002_000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s://d2l.cna.nl.ca/content/W09/MR2100_W09/images/11Goods_clip_image002_000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04825" cy="666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Decline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sales and profits have begun to decline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people are buying newer products that have replaced this product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number of competitors is declining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only the best-selling models of the product are available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is available in fewer specialty outlets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4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there is little or no promotion of the product</w:t>
                        </w:r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Once the product is in decline, the Producer has to make a choice. Companies usually want to find better ways to use their resources once a product begins to hit the decline stage of its life cycle.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Three Basic Options for the Decline Stage:</w:t>
                  </w:r>
                </w:p>
                <w:p w:rsidR="00BD1989" w:rsidRDefault="00BD1989" w:rsidP="00BD1989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Delete the product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stop making it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5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Harvest the product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let sales continue as they are without expending resources on advertising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5"/>
                    </w:numPr>
                    <w:spacing w:before="100" w:beforeAutospacing="1" w:after="240" w:line="240" w:lineRule="auto"/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Contract out the production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get some other manufacturer to make the product.  This frees up the company to make and sell other things while collecting royalties on the contracted-out product.</w:t>
                  </w: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Different Product Life Cycles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Different Product Life Cycles 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spacing w:after="240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 xml:space="preserve">The length and shapes of product life cycles will vary depending on the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product.Typical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variations in life cycles include: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tbl>
                  <w:tblPr>
                    <w:tblW w:w="5000" w:type="pc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783"/>
                    <w:gridCol w:w="7157"/>
                  </w:tblGrid>
                  <w:tr w:rsidR="00BD1989">
                    <w:tc>
                      <w:tcPr>
                        <w:tcW w:w="217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High Learning Products Life Cycle</w:t>
                        </w:r>
                      </w:p>
                    </w:tc>
                    <w:tc>
                      <w:tcPr>
                        <w:tcW w:w="637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Typified by very long introduction stages because consumers are forced to learn what the product is for and how to use it. (DOS-based computer programs)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>
                        <w:pPr>
                          <w:pStyle w:val="NormalWeb"/>
                          <w:spacing w:after="240" w:afterAutospacing="0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anchor distT="0" distB="0" distL="0" distR="0" simplePos="0" relativeHeight="251661824" behindDoc="0" locked="0" layoutInCell="1" allowOverlap="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1905000" cy="1219200"/>
                              <wp:effectExtent l="19050" t="0" r="0" b="0"/>
                              <wp:wrapSquare wrapText="bothSides"/>
                              <wp:docPr id="56" name="Picture 2" descr="https://d2l.cna.nl.ca/content/W09/MR2100_W09/images/microwave-2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s://d2l.cna.nl.ca/content/W09/MR2100_W09/images/microwave-2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0" cy="1219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microwave is one example.</w:t>
                        </w:r>
                      </w:p>
                    </w:tc>
                  </w:tr>
                  <w:tr w:rsidR="00BD1989">
                    <w:tc>
                      <w:tcPr>
                        <w:tcW w:w="217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Low Learning Products Life Cycle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Typified by a fast rise to maturity because it's easy for a consumer to learn about and use the product.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</w:tc>
                  </w:tr>
                  <w:tr w:rsidR="00BD1989">
                    <w:tc>
                      <w:tcPr>
                        <w:tcW w:w="217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lastRenderedPageBreak/>
                          <w:t>Fad Product Life Cycle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Typified by an extremely fast life cycle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>
                        <w:pPr>
                          <w:pStyle w:val="NormalWeb"/>
                          <w:spacing w:after="240" w:afterAutospacing="0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1714500" cy="1600200"/>
                              <wp:effectExtent l="19050" t="0" r="0" b="0"/>
                              <wp:docPr id="45" name="Picture 10" descr="https://d2l.cna.nl.ca/content/W09/MR2100_W09/images/Rock180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https://d2l.cna.nl.ca/content/W09/MR2100_W09/images/Rock180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14500" cy="16002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Pet Rock Fad - 1975</w:t>
                        </w:r>
                      </w:p>
                    </w:tc>
                  </w:tr>
                  <w:tr w:rsidR="00BD1989">
                    <w:tc>
                      <w:tcPr>
                        <w:tcW w:w="217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Fashion Product Life Cycle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Typified by a recurring life cycle whose frequency depends on the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product.</w:t>
                        </w:r>
                        <w:proofErr w:type="gramEnd"/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790575" cy="1143000"/>
                              <wp:effectExtent l="19050" t="0" r="9525" b="0"/>
                              <wp:docPr id="44" name="Picture 11" descr="https://d2l.cna.nl.ca/content/W09/MR2100_W09/images/dres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 descr="https://d2l.cna.nl.ca/content/W09/MR2100_W09/images/dres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90575" cy="1143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 </w:t>
                  </w:r>
                </w:p>
                <w:tbl>
                  <w:tblPr>
                    <w:tblW w:w="4500" w:type="pct"/>
                    <w:jc w:val="center"/>
                    <w:tblBorders>
                      <w:top w:val="outset" w:sz="12" w:space="0" w:color="0C8865"/>
                      <w:left w:val="outset" w:sz="12" w:space="0" w:color="0C8865"/>
                      <w:bottom w:val="outset" w:sz="12" w:space="0" w:color="0C8865"/>
                      <w:right w:val="outset" w:sz="12" w:space="0" w:color="0C8865"/>
                    </w:tblBorders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1380"/>
                    <w:gridCol w:w="6652"/>
                  </w:tblGrid>
                  <w:tr w:rsidR="00BD1989">
                    <w:trPr>
                      <w:jc w:val="center"/>
                    </w:trPr>
                    <w:tc>
                      <w:tcPr>
                        <w:tcW w:w="1215" w:type="dxa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762000" cy="666750"/>
                              <wp:effectExtent l="19050" t="0" r="0" b="0"/>
                              <wp:docPr id="43" name="Picture 12" descr="Weblink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 descr="Weblink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666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For additional reading on The Product Life Cycle, review the following site: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5923F5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hyperlink r:id="rId16" w:history="1"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>http://courses.unt.edu/kt3650_9/sld004.htm</w:t>
                          </w:r>
                        </w:hyperlink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Factors Affecting the Consumer Adoption Process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p w:rsidR="000761A3" w:rsidRDefault="000761A3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lastRenderedPageBreak/>
                    <w:t>Factors Affecting the Consumer Adoption Process</w:t>
                  </w:r>
                </w:p>
              </w:tc>
            </w:tr>
            <w:tr w:rsidR="00BD1989" w:rsidTr="00BD1989">
              <w:trPr>
                <w:trHeight w:val="3300"/>
              </w:trPr>
              <w:tc>
                <w:tcPr>
                  <w:tcW w:w="0" w:type="auto"/>
                  <w:hideMark/>
                </w:tcPr>
                <w:p w:rsidR="00BD1989" w:rsidRDefault="00BD19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  </w:t>
                  </w:r>
                </w:p>
                <w:tbl>
                  <w:tblPr>
                    <w:tblW w:w="5000" w:type="pc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590"/>
                    <w:gridCol w:w="7350"/>
                  </w:tblGrid>
                  <w:tr w:rsidR="00BD1989">
                    <w:tc>
                      <w:tcPr>
                        <w:tcW w:w="1590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Usage Barriers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product is not compatible with existing consumer habits.</w:t>
                        </w:r>
                      </w:p>
                    </w:tc>
                  </w:tr>
                  <w:tr w:rsidR="00BD1989">
                    <w:tc>
                      <w:tcPr>
                        <w:tcW w:w="1590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Value Barriers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product provides no incentive to change usage</w:t>
                        </w:r>
                      </w:p>
                    </w:tc>
                  </w:tr>
                  <w:tr w:rsidR="00BD1989">
                    <w:tc>
                      <w:tcPr>
                        <w:tcW w:w="1590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Risk Barriers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 w:rsidP="00BD1989">
                        <w:pPr>
                          <w:numPr>
                            <w:ilvl w:val="0"/>
                            <w:numId w:val="16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physical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6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economic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6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social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6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psychological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16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cultural differences</w:t>
                        </w:r>
                      </w:p>
                    </w:tc>
                  </w:tr>
                </w:tbl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t>MR2100 Marketing II (Winter 2009) - Unit 2.  Product Element of the Marketing Mix - Continued -    Categories of Early Adopters - Graph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Categories of Early Adopters Graph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Innovators</w:t>
                  </w:r>
                </w:p>
                <w:p w:rsidR="00BD1989" w:rsidRDefault="00BD1989" w:rsidP="00BD1989">
                  <w:pPr>
                    <w:numPr>
                      <w:ilvl w:val="0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experimental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use different information sources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higher education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7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risk takers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Early Adopters</w:t>
                  </w:r>
                </w:p>
                <w:p w:rsidR="00BD1989" w:rsidRDefault="00BD1989" w:rsidP="00BD1989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leaders in social setting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slightly above average education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8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opinion leaders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Early Majority</w:t>
                  </w:r>
                </w:p>
                <w:p w:rsidR="00BD1989" w:rsidRDefault="00BD1989" w:rsidP="00BD1989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deliberate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many informal social contacts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rely on recommendations from social contacts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product is proven successful by early adopters &amp; innovators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19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tend to avoid risk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Late Majority</w:t>
                  </w:r>
                </w:p>
                <w:p w:rsidR="00BD1989" w:rsidRDefault="00BD1989" w:rsidP="00BD1989">
                  <w:pPr>
                    <w:numPr>
                      <w:ilvl w:val="0"/>
                      <w:numId w:val="20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skeptical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0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below-average social status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0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adopt only after it is common place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Laggards</w:t>
                  </w:r>
                </w:p>
                <w:p w:rsidR="00BD1989" w:rsidRDefault="00BD1989" w:rsidP="00BD1989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fear of debt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neighbours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&amp; friends are information sources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more comfortable with the familiar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1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avoid change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4314825" cy="2857500"/>
                        <wp:effectExtent l="19050" t="0" r="9525" b="0"/>
                        <wp:docPr id="42" name="Picture 13" descr="https://d2l.cna.nl.ca/content/W09/MR2100_W09/images/categories_product_adopter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https://d2l.cna.nl.ca/content/W09/MR2100_W09/images/categories_product_adopter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14825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Managing the Product Life Cycle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Managing the Product Life Cycle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t>Managing the Product Life Cycle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Every organization would like to extend the life of its products for as long as possible.</w:t>
                  </w:r>
                </w:p>
                <w:p w:rsidR="00BD1989" w:rsidRDefault="00BD1989" w:rsidP="00BD1989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Product Managers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manages the marketing efforts of a product or brand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Products can be modified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to meet new needs. i.e. adding food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colouring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to Ketchup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Markets can be modified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by creating a new use situation, or by finding new users (think Baking Soda - not only used in baking but odor control in the fridge, whitening in tooth paste etc.)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Product Repositioning -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Change the image of the product to extend its life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1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Factors triggering a repositioning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2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 react to competitors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2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 reach new markets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2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 catch a rising trend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2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to change the value offered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3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trade up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raise the image/features/options of the product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Pr="00BD1989" w:rsidRDefault="00BD1989" w:rsidP="00BD1989">
                  <w:pPr>
                    <w:numPr>
                      <w:ilvl w:val="3"/>
                      <w:numId w:val="22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lastRenderedPageBreak/>
                    <w:t>trade down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- lower the image/features/options of the product</w:t>
                  </w:r>
                </w:p>
                <w:p w:rsidR="00BD1989" w:rsidRDefault="00BD1989" w:rsidP="00BD1989">
                  <w:pPr>
                    <w:spacing w:before="100" w:beforeAutospacing="1" w:after="100" w:afterAutospacing="1" w:line="240" w:lineRule="auto"/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Branding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Branding 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spacing w:after="240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A brand is a name, a phrase, a design, symbols (logo) or a combination of these to identify products and distinguish them from their competitors.</w:t>
                  </w:r>
                </w:p>
                <w:tbl>
                  <w:tblPr>
                    <w:tblW w:w="5000" w:type="pc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275"/>
                    <w:gridCol w:w="7665"/>
                  </w:tblGrid>
                  <w:tr w:rsidR="00BD1989">
                    <w:tc>
                      <w:tcPr>
                        <w:tcW w:w="127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Trade Name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name under which a company does business - Apple Computers</w:t>
                        </w:r>
                      </w:p>
                    </w:tc>
                  </w:tr>
                  <w:tr w:rsidR="00BD1989">
                    <w:tc>
                      <w:tcPr>
                        <w:tcW w:w="127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Trademark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anchor distT="0" distB="0" distL="0" distR="0" simplePos="0" relativeHeight="251662848" behindDoc="0" locked="0" layoutInCell="1" allowOverlap="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447675" cy="514350"/>
                              <wp:effectExtent l="19050" t="0" r="9525" b="0"/>
                              <wp:wrapSquare wrapText="bothSides"/>
                              <wp:docPr id="55" name="Picture 3" descr="https://d2l.cna.nl.ca/content/W09/MR2100_W09/images/applelogo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s://d2l.cna.nl.ca/content/W09/MR2100_W09/images/applelogo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47675" cy="5143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anchor>
                          </w:drawing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symbol or logo that identifies the company and its products. </w:t>
                        </w:r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t>The Value of 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 good brand name improves the value of the product (brand equity)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Brand equity provides a competitive advantage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3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 Brand name endures changes in the market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t>Licensing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Brand equity can be sold in the form of licensing arrangements.  Other companies pay a royalty to the original company for the right to produce the original company's product.  The original company is then free to focus on other things.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  <w:t> 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t>Picking a Good Brand Name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Choosing a good brand name can be difficult.  Five criteria can be used to select a good brand name:</w:t>
                  </w:r>
                </w:p>
                <w:tbl>
                  <w:tblPr>
                    <w:tblW w:w="5000" w:type="pc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465"/>
                    <w:gridCol w:w="8475"/>
                  </w:tblGrid>
                  <w:tr w:rsidR="00BD1989">
                    <w:tc>
                      <w:tcPr>
                        <w:tcW w:w="34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41" name="Picture 14" descr="https://d2l.cna.nl.ca/content/W09/MR2100_W09/images/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 descr="https://d2l.cna.nl.ca/content/W09/MR2100_W09/images/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Should suggest the product benefits, i.e.: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Easy-off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Oven cleaner</w:t>
                        </w:r>
                      </w:p>
                    </w:tc>
                  </w:tr>
                  <w:tr w:rsidR="00BD1989">
                    <w:tc>
                      <w:tcPr>
                        <w:tcW w:w="34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40" name="Picture 15" descr="https://d2l.cna.nl.ca/content/W09/MR2100_W09/images/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 descr="https://d2l.cna.nl.ca/content/W09/MR2100_W09/images/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Should be memorable, distinctive and positive, i.e.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Mustang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car</w:t>
                        </w:r>
                      </w:p>
                    </w:tc>
                  </w:tr>
                  <w:tr w:rsidR="00BD1989">
                    <w:tc>
                      <w:tcPr>
                        <w:tcW w:w="34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39" name="Picture 16" descr="https://d2l.cna.nl.ca/content/W09/MR2100_W09/images/3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 descr="https://d2l.cna.nl.ca/content/W09/MR2100_W09/images/3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Should fit the company or product image, i.e.: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Sharp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electronics</w:t>
                        </w:r>
                      </w:p>
                    </w:tc>
                  </w:tr>
                  <w:tr w:rsidR="00BD1989">
                    <w:tc>
                      <w:tcPr>
                        <w:tcW w:w="34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lastRenderedPageBreak/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38" name="Picture 17" descr="https://d2l.cna.nl.ca/content/W09/MR2100_W09/images/4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https://d2l.cna.nl.ca/content/W09/MR2100_W09/images/4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2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Should have no legal or regulatory restrictions</w:t>
                        </w:r>
                      </w:p>
                    </w:tc>
                  </w:tr>
                  <w:tr w:rsidR="00BD1989">
                    <w:tc>
                      <w:tcPr>
                        <w:tcW w:w="345" w:type="dxa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200025" cy="209550"/>
                              <wp:effectExtent l="0" t="0" r="0" b="0"/>
                              <wp:docPr id="37" name="Picture 18" descr="https://d2l.cna.nl.ca/content/W09/MR2100_W09/images/5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 descr="https://d2l.cna.nl.ca/content/W09/MR2100_W09/images/5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3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0025" cy="2095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Should be simple, i.e.: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Bold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laundry detergent, but watch for translations to other languages, i.e. Chevy Nova car where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Nova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translates to "no-go" in Spanish or Travelocity where </w:t>
                        </w:r>
                        <w:proofErr w:type="spellStart"/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travelo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translates to slang for transvestite in France.  </w:t>
                        </w:r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t>Branding Strategies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Manufacturer's 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Multi-product 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Multi-branding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Euro-branding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Global 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Private 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Mixed Branding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4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Generic Branding</w:t>
                  </w:r>
                </w:p>
                <w:tbl>
                  <w:tblPr>
                    <w:tblW w:w="4500" w:type="pct"/>
                    <w:jc w:val="center"/>
                    <w:tblBorders>
                      <w:top w:val="outset" w:sz="12" w:space="0" w:color="0C8865"/>
                      <w:left w:val="outset" w:sz="12" w:space="0" w:color="0C8865"/>
                      <w:bottom w:val="outset" w:sz="12" w:space="0" w:color="0C8865"/>
                      <w:right w:val="outset" w:sz="12" w:space="0" w:color="0C8865"/>
                    </w:tblBorders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4A0"/>
                  </w:tblPr>
                  <w:tblGrid>
                    <w:gridCol w:w="1380"/>
                    <w:gridCol w:w="6652"/>
                  </w:tblGrid>
                  <w:tr w:rsidR="00BD1989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762000" cy="762000"/>
                              <wp:effectExtent l="19050" t="0" r="0" b="0"/>
                              <wp:docPr id="36" name="Picture 19" descr="https://d2l.cna.nl.ca/content/W09/MR2100_W09/images/gaming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 descr="https://d2l.cna.nl.ca/content/W09/MR2100_W09/images/gaming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4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Building Brands Game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Click on the link below to play a game called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20"/>
                            <w:szCs w:val="20"/>
                          </w:rPr>
                          <w:t>Building Brands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 It reinforces the branding concepts.</w:t>
                        </w:r>
                      </w:p>
                      <w:p w:rsidR="00BD1989" w:rsidRDefault="005923F5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hyperlink r:id="rId25" w:history="1"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>http://www.buildingbrands.com/flash/game01.html</w:t>
                          </w:r>
                        </w:hyperlink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Verdana" w:hAnsi="Verdana"/>
                      <w:sz w:val="17"/>
                      <w:szCs w:val="17"/>
                    </w:rPr>
                    <w:t> </w:t>
                  </w: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Packaging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>Packaging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t>Packaging</w:t>
                  </w: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Packaging serves three major functions:</w:t>
                  </w:r>
                </w:p>
                <w:tbl>
                  <w:tblPr>
                    <w:tblW w:w="5000" w:type="pc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2595"/>
                    <w:gridCol w:w="6345"/>
                  </w:tblGrid>
                  <w:tr w:rsidR="00BD1989">
                    <w:tc>
                      <w:tcPr>
                        <w:tcW w:w="259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Communications Benefits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it helps sell the product</w:t>
                        </w:r>
                      </w:p>
                    </w:tc>
                  </w:tr>
                  <w:tr w:rsidR="00BD1989">
                    <w:tc>
                      <w:tcPr>
                        <w:tcW w:w="259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>Functional Benefits         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it contains the product</w:t>
                        </w:r>
                      </w:p>
                    </w:tc>
                  </w:tr>
                  <w:tr w:rsidR="00BD1989">
                    <w:tc>
                      <w:tcPr>
                        <w:tcW w:w="2595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  <w:t xml:space="preserve">Perceptual Branding       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the package conveys image and image change to the customer</w:t>
                        </w:r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b/>
                      <w:bCs/>
                      <w:color w:val="0C8865"/>
                      <w:sz w:val="20"/>
                      <w:szCs w:val="20"/>
                    </w:rPr>
                    <w:lastRenderedPageBreak/>
                    <w:t>Global Trends in Packaging</w:t>
                  </w:r>
                </w:p>
                <w:p w:rsidR="00BD1989" w:rsidRDefault="00BD1989" w:rsidP="00BD1989">
                  <w:pPr>
                    <w:numPr>
                      <w:ilvl w:val="0"/>
                      <w:numId w:val="25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Environmental Issues</w:t>
                  </w:r>
                  <w:r>
                    <w:rPr>
                      <w:rFonts w:ascii="Verdana" w:hAnsi="Verdana"/>
                      <w:sz w:val="17"/>
                      <w:szCs w:val="17"/>
                    </w:rPr>
                    <w:t xml:space="preserve"> </w:t>
                  </w:r>
                </w:p>
                <w:p w:rsidR="00BD1989" w:rsidRDefault="00BD1989" w:rsidP="00BD1989">
                  <w:pPr>
                    <w:numPr>
                      <w:ilvl w:val="0"/>
                      <w:numId w:val="25"/>
                    </w:numPr>
                    <w:spacing w:before="100" w:beforeAutospacing="1" w:after="100" w:afterAutospacing="1" w:line="240" w:lineRule="auto"/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Health and Safety Concerns</w:t>
                  </w: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lastRenderedPageBreak/>
              <w:t>MR2100 Marketing II (Winter 2009) - Unit 2.  Product Element of the Marketing Mix - Continued -    Product Warranties</w:t>
            </w:r>
          </w:p>
          <w:p w:rsidR="00BD1989" w:rsidRDefault="00BD1989" w:rsidP="00BD1989">
            <w:pPr>
              <w:rPr>
                <w:rFonts w:ascii="Verdana" w:hAnsi="Verdana"/>
                <w:color w:val="003366"/>
                <w:sz w:val="17"/>
                <w:szCs w:val="17"/>
              </w:rPr>
            </w:pP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shd w:val="clear" w:color="auto" w:fill="EEF7F7"/>
                  <w:vAlign w:val="center"/>
                  <w:hideMark/>
                </w:tcPr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7"/>
                      <w:szCs w:val="27"/>
                    </w:rPr>
                    <w:t xml:space="preserve">Product Warranties </w:t>
                  </w:r>
                </w:p>
              </w:tc>
            </w:tr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 warranty reduces the risk involved in the purchase. It represents a significant marketing advantage.</w:t>
                  </w:r>
                </w:p>
                <w:tbl>
                  <w:tblPr>
                    <w:tblW w:w="4500" w:type="pct"/>
                    <w:jc w:val="center"/>
                    <w:tblBorders>
                      <w:top w:val="outset" w:sz="12" w:space="0" w:color="0C8865"/>
                      <w:left w:val="outset" w:sz="12" w:space="0" w:color="0C8865"/>
                      <w:bottom w:val="outset" w:sz="12" w:space="0" w:color="0C8865"/>
                      <w:right w:val="outset" w:sz="12" w:space="0" w:color="0C8865"/>
                    </w:tblBorders>
                    <w:tblCellMar>
                      <w:top w:w="90" w:type="dxa"/>
                      <w:left w:w="90" w:type="dxa"/>
                      <w:bottom w:w="90" w:type="dxa"/>
                      <w:right w:w="90" w:type="dxa"/>
                    </w:tblCellMar>
                    <w:tblLook w:val="04A0"/>
                  </w:tblPr>
                  <w:tblGrid>
                    <w:gridCol w:w="1483"/>
                    <w:gridCol w:w="6549"/>
                  </w:tblGrid>
                  <w:tr w:rsidR="00BD1989">
                    <w:trPr>
                      <w:jc w:val="center"/>
                    </w:trPr>
                    <w:tc>
                      <w:tcPr>
                        <w:tcW w:w="1200" w:type="dxa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762000" cy="666750"/>
                              <wp:effectExtent l="19050" t="0" r="0" b="0"/>
                              <wp:docPr id="35" name="Picture 20" descr="https://d2l.cna.nl.ca/content/W09/MR2100_W09/images/li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 descr="https://d2l.cna.nl.ca/content/W09/MR2100_W09/images/li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666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6225" w:type="dxa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Sun Microsystems offers product warranties on a variety of products.  The site below contains a chart of products and each link contains the warranty.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5923F5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hyperlink r:id="rId26" w:tgtFrame="_blank" w:history="1"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>http://www.sun.com/service/warranty/product_warranty_chart.html</w:t>
                          </w:r>
                        </w:hyperlink>
                        <w:r w:rsidR="00BD1989"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</w:tc>
                  </w:tr>
                </w:tbl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</w:tr>
          </w:tbl>
          <w:p w:rsidR="00BD1989" w:rsidRDefault="00BD1989" w:rsidP="00BD1989">
            <w:pPr>
              <w:pStyle w:val="Heading1"/>
              <w:shd w:val="clear" w:color="auto" w:fill="004E93"/>
              <w:spacing w:before="0" w:beforeAutospacing="0" w:after="0" w:afterAutospacing="0"/>
              <w:rPr>
                <w:rFonts w:ascii="Verdana" w:hAnsi="Verdana"/>
                <w:color w:val="FFFFFF"/>
                <w:sz w:val="19"/>
                <w:szCs w:val="19"/>
              </w:rPr>
            </w:pPr>
            <w:r>
              <w:rPr>
                <w:rFonts w:ascii="Verdana" w:hAnsi="Verdana"/>
                <w:color w:val="FFFFFF"/>
                <w:sz w:val="19"/>
                <w:szCs w:val="19"/>
              </w:rPr>
              <w:t xml:space="preserve">MR2100 Marketing II (Winter 2009) - Unit 2.  Product Element of the Marketing Mix - Continued -    Discussion Activity </w:t>
            </w:r>
          </w:p>
          <w:tbl>
            <w:tblPr>
              <w:tblW w:w="900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9000"/>
            </w:tblGrid>
            <w:tr w:rsidR="00BD1989" w:rsidTr="00BD1989">
              <w:tc>
                <w:tcPr>
                  <w:tcW w:w="0" w:type="auto"/>
                  <w:hideMark/>
                </w:tcPr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</w:p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The New Product</w:t>
                  </w:r>
                </w:p>
                <w:tbl>
                  <w:tblPr>
                    <w:tblW w:w="4500" w:type="pct"/>
                    <w:jc w:val="center"/>
                    <w:tblBorders>
                      <w:top w:val="outset" w:sz="12" w:space="0" w:color="0C8865"/>
                      <w:left w:val="outset" w:sz="12" w:space="0" w:color="0C8865"/>
                      <w:bottom w:val="outset" w:sz="12" w:space="0" w:color="0C8865"/>
                      <w:right w:val="outset" w:sz="12" w:space="0" w:color="0C8865"/>
                    </w:tblBorders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1350"/>
                    <w:gridCol w:w="6682"/>
                  </w:tblGrid>
                  <w:tr w:rsidR="00BD1989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762000" cy="666750"/>
                              <wp:effectExtent l="19050" t="0" r="0" b="0"/>
                              <wp:docPr id="4" name="Picture 24" descr="Weblink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 descr="Weblink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666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0C8865"/>
                          <w:left w:val="outset" w:sz="6" w:space="0" w:color="0C8865"/>
                          <w:bottom w:val="outset" w:sz="6" w:space="0" w:color="0C8865"/>
                          <w:right w:val="outset" w:sz="6" w:space="0" w:color="0C8865"/>
                        </w:tcBorders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Read the following article: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5923F5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hyperlink r:id="rId27" w:history="1">
                          <w:r w:rsidR="00BD1989">
                            <w:rPr>
                              <w:rStyle w:val="Hyperlink"/>
                              <w:rFonts w:ascii="Arial" w:hAnsi="Arial" w:cs="Arial"/>
                              <w:i/>
                              <w:iCs/>
                              <w:sz w:val="20"/>
                              <w:szCs w:val="20"/>
                            </w:rPr>
                            <w:t xml:space="preserve">"The DVD War: Two tech titans are replaying the VHS </w:t>
                          </w:r>
                          <w:proofErr w:type="spellStart"/>
                          <w:r w:rsidR="00BD1989">
                            <w:rPr>
                              <w:rStyle w:val="Hyperlink"/>
                              <w:rFonts w:ascii="Arial" w:hAnsi="Arial" w:cs="Arial"/>
                              <w:i/>
                              <w:iCs/>
                              <w:sz w:val="20"/>
                              <w:szCs w:val="20"/>
                            </w:rPr>
                            <w:t>vs</w:t>
                          </w:r>
                          <w:proofErr w:type="spellEnd"/>
                          <w:r w:rsidR="00BD1989">
                            <w:rPr>
                              <w:rStyle w:val="Hyperlink"/>
                              <w:rFonts w:ascii="Arial" w:hAnsi="Arial" w:cs="Arial"/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="00BD1989">
                            <w:rPr>
                              <w:rStyle w:val="Hyperlink"/>
                              <w:rFonts w:ascii="Arial" w:hAnsi="Arial" w:cs="Arial"/>
                              <w:i/>
                              <w:iCs/>
                              <w:sz w:val="20"/>
                              <w:szCs w:val="20"/>
                            </w:rPr>
                            <w:t>Betamax</w:t>
                          </w:r>
                          <w:proofErr w:type="spellEnd"/>
                          <w:r w:rsidR="00BD1989">
                            <w:rPr>
                              <w:rStyle w:val="Hyperlink"/>
                              <w:rFonts w:ascii="Arial" w:hAnsi="Arial" w:cs="Arial"/>
                              <w:i/>
                              <w:iCs/>
                              <w:sz w:val="20"/>
                              <w:szCs w:val="20"/>
                            </w:rPr>
                            <w:t xml:space="preserve"> fight</w:t>
                          </w:r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Michael </w:t>
                          </w:r>
                          <w:proofErr w:type="spellStart"/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>Sinder</w:t>
                          </w:r>
                          <w:proofErr w:type="spellEnd"/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in </w:t>
                          </w:r>
                          <w:r w:rsidR="00BD1989">
                            <w:rPr>
                              <w:rStyle w:val="Hyperlink"/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Maclean's </w:t>
                          </w:r>
                          <w:r w:rsidR="00BD1989">
                            <w:rPr>
                              <w:rStyle w:val="Hyperlink"/>
                              <w:rFonts w:ascii="Arial" w:hAnsi="Arial" w:cs="Arial"/>
                              <w:sz w:val="20"/>
                              <w:szCs w:val="20"/>
                            </w:rPr>
                            <w:t>- Jan 10, 2005</w:t>
                          </w:r>
                        </w:hyperlink>
                      </w:p>
                    </w:tc>
                  </w:tr>
                </w:tbl>
                <w:p w:rsidR="00BD1989" w:rsidRDefault="00BD1989">
                  <w:pPr>
                    <w:pStyle w:val="NormalWeb"/>
                    <w:rPr>
                      <w:rFonts w:ascii="Verdana" w:hAnsi="Verdana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Having read the article and using it as a basis for your discussion:</w:t>
                  </w:r>
                </w:p>
                <w:tbl>
                  <w:tblPr>
                    <w:tblW w:w="5000" w:type="pct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763"/>
                    <w:gridCol w:w="8177"/>
                  </w:tblGrid>
                  <w:tr w:rsidR="00BD1989">
                    <w:tc>
                      <w:tcPr>
                        <w:tcW w:w="750" w:type="dxa"/>
                        <w:hideMark/>
                      </w:tcPr>
                      <w:p w:rsidR="00BD1989" w:rsidRDefault="00BD1989">
                        <w:pPr>
                          <w:jc w:val="right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3" name="Picture 25" descr="On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 descr="On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9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7800" w:type="dxa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Discuss the Competitive Advantages offered by each competing product.  Discuss whether each advantage is an "industrial/corporate"-oriented advantage or a "consumer"-oriented advantage.</w:t>
                        </w:r>
                      </w:p>
                    </w:tc>
                  </w:tr>
                  <w:tr w:rsidR="00BD1989">
                    <w:tc>
                      <w:tcPr>
                        <w:tcW w:w="750" w:type="dxa"/>
                        <w:hideMark/>
                      </w:tcPr>
                      <w:p w:rsidR="00BD1989" w:rsidRDefault="00BD1989">
                        <w:pPr>
                          <w:jc w:val="right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2" name="Picture 26" descr="Two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 descr="Two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Consider where the following products are on the Product Life Cycle: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7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Record Albums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7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Cassettes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7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CD Players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7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VHS Machines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7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Betamax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machines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7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lastRenderedPageBreak/>
                          <w:t>These new players</w:t>
                        </w:r>
                      </w:p>
                      <w:p w:rsidR="00BD1989" w:rsidRDefault="00BD1989">
                        <w:pPr>
                          <w:pStyle w:val="NormalWeb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Draw a product life cycle and indicate where each of these products </w:t>
                        </w:r>
                        <w:proofErr w:type="gram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are</w:t>
                        </w:r>
                        <w:proofErr w:type="gram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located along it.</w:t>
                        </w:r>
                      </w:p>
                    </w:tc>
                  </w:tr>
                  <w:tr w:rsidR="00BD1989" w:rsidTr="00BD1989">
                    <w:trPr>
                      <w:trHeight w:val="1875"/>
                    </w:trPr>
                    <w:tc>
                      <w:tcPr>
                        <w:tcW w:w="750" w:type="dxa"/>
                        <w:hideMark/>
                      </w:tcPr>
                      <w:p w:rsidR="00BD1989" w:rsidRDefault="00BD1989">
                        <w:pPr>
                          <w:jc w:val="right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Verdana" w:hAnsi="Verdana"/>
                            <w:noProof/>
                            <w:sz w:val="17"/>
                            <w:szCs w:val="17"/>
                          </w:rPr>
                          <w:lastRenderedPageBreak/>
                          <w:drawing>
                            <wp:inline distT="0" distB="0" distL="0" distR="0">
                              <wp:extent cx="219075" cy="228600"/>
                              <wp:effectExtent l="0" t="0" r="0" b="0"/>
                              <wp:docPr id="1" name="Picture 27" descr="Thr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 descr="Thr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1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9075" cy="228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BD1989" w:rsidRDefault="00BD1989">
                        <w:pPr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Consider the marketing aspects of each of the products listed in Question 2.  Discuss the: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8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Competitive environment faced by each of these products.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8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How each of these products is priced.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8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How each of these products is promoted.</w:t>
                        </w:r>
                        <w:r>
                          <w:rPr>
                            <w:rFonts w:ascii="Verdana" w:hAnsi="Verdana"/>
                            <w:sz w:val="17"/>
                            <w:szCs w:val="17"/>
                          </w:rPr>
                          <w:t xml:space="preserve"> </w:t>
                        </w:r>
                      </w:p>
                      <w:p w:rsidR="00BD1989" w:rsidRDefault="00BD1989" w:rsidP="00BD1989">
                        <w:pPr>
                          <w:numPr>
                            <w:ilvl w:val="0"/>
                            <w:numId w:val="28"/>
                          </w:numPr>
                          <w:spacing w:before="100" w:beforeAutospacing="1" w:after="100" w:afterAutospacing="1" w:line="240" w:lineRule="auto"/>
                          <w:rPr>
                            <w:rFonts w:ascii="Verdana" w:hAnsi="Verdana"/>
                            <w:color w:val="003366"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Where these products are available.</w:t>
                        </w:r>
                      </w:p>
                    </w:tc>
                  </w:tr>
                </w:tbl>
                <w:p w:rsidR="00BD1989" w:rsidRDefault="00BD1989">
                  <w:pPr>
                    <w:rPr>
                      <w:rFonts w:ascii="Verdana" w:hAnsi="Verdana"/>
                      <w:color w:val="003366"/>
                      <w:sz w:val="17"/>
                      <w:szCs w:val="17"/>
                    </w:rPr>
                  </w:pPr>
                </w:p>
              </w:tc>
            </w:tr>
          </w:tbl>
          <w:p w:rsidR="00820D5F" w:rsidRPr="00820D5F" w:rsidRDefault="00820D5F" w:rsidP="00820D5F">
            <w:pPr>
              <w:spacing w:before="100" w:beforeAutospacing="1" w:after="100" w:afterAutospacing="1" w:line="240" w:lineRule="auto"/>
              <w:outlineLvl w:val="4"/>
              <w:rPr>
                <w:rFonts w:ascii="Verdana" w:eastAsia="Times New Roman" w:hAnsi="Verdana" w:cs="Times New Roman"/>
                <w:b/>
                <w:bCs/>
                <w:i/>
                <w:color w:val="003366"/>
                <w:sz w:val="20"/>
                <w:szCs w:val="20"/>
              </w:rPr>
            </w:pPr>
            <w:r w:rsidRPr="00820D5F">
              <w:rPr>
                <w:rFonts w:ascii="Arial" w:eastAsia="Times New Roman" w:hAnsi="Arial" w:cs="Arial"/>
                <w:b/>
                <w:bCs/>
                <w:i/>
                <w:color w:val="003366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0D5F" w:rsidRPr="00820D5F" w:rsidRDefault="00820D5F" w:rsidP="00820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  <w:tr w:rsidR="00820D5F" w:rsidRPr="00820D5F" w:rsidTr="00BD1989">
        <w:tc>
          <w:tcPr>
            <w:tcW w:w="96" w:type="dxa"/>
            <w:vAlign w:val="center"/>
            <w:hideMark/>
          </w:tcPr>
          <w:p w:rsidR="00820D5F" w:rsidRPr="00820D5F" w:rsidRDefault="00820D5F" w:rsidP="00820D5F">
            <w:pPr>
              <w:spacing w:after="0" w:line="240" w:lineRule="auto"/>
              <w:rPr>
                <w:rFonts w:ascii="Verdana" w:eastAsia="Times New Roman" w:hAnsi="Verdana" w:cs="Times New Roman"/>
                <w:color w:val="003366"/>
                <w:sz w:val="17"/>
                <w:szCs w:val="17"/>
              </w:rPr>
            </w:pPr>
          </w:p>
        </w:tc>
        <w:tc>
          <w:tcPr>
            <w:tcW w:w="9259" w:type="dxa"/>
            <w:vAlign w:val="center"/>
            <w:hideMark/>
          </w:tcPr>
          <w:p w:rsidR="00820D5F" w:rsidRPr="00820D5F" w:rsidRDefault="00820D5F" w:rsidP="00BD1989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i/>
                <w:color w:val="003366"/>
                <w:sz w:val="17"/>
                <w:szCs w:val="17"/>
              </w:rPr>
            </w:pPr>
            <w:r w:rsidRPr="00820D5F">
              <w:rPr>
                <w:rFonts w:ascii="Verdana" w:eastAsia="Times New Roman" w:hAnsi="Verdana" w:cs="Times New Roman"/>
                <w:i/>
                <w:color w:val="003366"/>
                <w:sz w:val="17"/>
                <w:szCs w:val="17"/>
              </w:rPr>
              <w:t xml:space="preserve"> </w:t>
            </w:r>
          </w:p>
          <w:p w:rsidR="00820D5F" w:rsidRPr="00820D5F" w:rsidRDefault="00820D5F" w:rsidP="002635FC">
            <w:pPr>
              <w:spacing w:before="100" w:beforeAutospacing="1" w:after="240" w:line="240" w:lineRule="auto"/>
              <w:ind w:left="720"/>
              <w:rPr>
                <w:rFonts w:ascii="Verdana" w:eastAsia="Times New Roman" w:hAnsi="Verdana" w:cs="Times New Roman"/>
                <w:i/>
                <w:color w:val="003366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820D5F" w:rsidRPr="00820D5F" w:rsidRDefault="00820D5F" w:rsidP="00820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1A1EF3" w:rsidRDefault="00820D5F" w:rsidP="00BD1989">
      <w:pPr>
        <w:shd w:val="clear" w:color="auto" w:fill="004E93"/>
        <w:spacing w:after="0" w:line="240" w:lineRule="auto"/>
        <w:outlineLvl w:val="0"/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</w:rPr>
      </w:pPr>
      <w:r w:rsidRPr="00820D5F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</w:rPr>
        <w:t xml:space="preserve">MR2100 Marketing II (Winter 2009) - </w:t>
      </w:r>
      <w:r w:rsidR="001A1EF3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</w:rPr>
        <w:t>Unit 2</w:t>
      </w:r>
      <w:r w:rsidRPr="00820D5F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</w:rPr>
        <w:t xml:space="preserve">.  </w:t>
      </w:r>
    </w:p>
    <w:p w:rsidR="00E8178F" w:rsidRPr="002635FC" w:rsidRDefault="00820D5F" w:rsidP="00BD1989">
      <w:pPr>
        <w:shd w:val="clear" w:color="auto" w:fill="004E93"/>
        <w:spacing w:after="0" w:line="240" w:lineRule="auto"/>
        <w:outlineLvl w:val="0"/>
        <w:rPr>
          <w:color w:val="4F81BD" w:themeColor="accent1"/>
          <w:sz w:val="32"/>
        </w:rPr>
      </w:pPr>
      <w:r w:rsidRPr="00820D5F">
        <w:rPr>
          <w:rFonts w:ascii="Verdana" w:eastAsia="Times New Roman" w:hAnsi="Verdana" w:cs="Times New Roman"/>
          <w:b/>
          <w:bCs/>
          <w:color w:val="FFFFFF"/>
          <w:kern w:val="36"/>
          <w:sz w:val="19"/>
          <w:szCs w:val="19"/>
        </w:rPr>
        <w:t xml:space="preserve"> </w:t>
      </w:r>
      <w:r w:rsidR="002635FC" w:rsidRPr="002635FC">
        <w:rPr>
          <w:color w:val="4F81BD" w:themeColor="accent1"/>
          <w:sz w:val="32"/>
        </w:rPr>
        <w:t>Discussion Questions</w:t>
      </w:r>
    </w:p>
    <w:p w:rsidR="002635FC" w:rsidRDefault="002635FC" w:rsidP="002635FC">
      <w:r>
        <w:t>P</w:t>
      </w:r>
      <w:r w:rsidR="00BD1989">
        <w:t>300</w:t>
      </w:r>
      <w:r>
        <w:t>:    1,3</w:t>
      </w:r>
      <w:r w:rsidR="001A1EF3">
        <w:t>,4,6</w:t>
      </w:r>
    </w:p>
    <w:sectPr w:rsidR="002635FC" w:rsidSect="00820D5F">
      <w:footerReference w:type="default" r:id="rId28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AF7" w:rsidRDefault="001D2AF7" w:rsidP="00820D5F">
      <w:pPr>
        <w:spacing w:after="0" w:line="240" w:lineRule="auto"/>
      </w:pPr>
      <w:r>
        <w:separator/>
      </w:r>
    </w:p>
  </w:endnote>
  <w:endnote w:type="continuationSeparator" w:id="0">
    <w:p w:rsidR="001D2AF7" w:rsidRDefault="001D2AF7" w:rsidP="00820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81407"/>
      <w:docPartObj>
        <w:docPartGallery w:val="Page Numbers (Bottom of Page)"/>
        <w:docPartUnique/>
      </w:docPartObj>
    </w:sdtPr>
    <w:sdtContent>
      <w:p w:rsidR="00820D5F" w:rsidRDefault="00820D5F">
        <w:pPr>
          <w:pStyle w:val="Footer"/>
        </w:pPr>
        <w:r>
          <w:t xml:space="preserve">MR2100 Chapter </w:t>
        </w:r>
        <w:proofErr w:type="gramStart"/>
        <w:r>
          <w:t>10  Page</w:t>
        </w:r>
        <w:proofErr w:type="gramEnd"/>
        <w:r>
          <w:t xml:space="preserve"> | </w:t>
        </w:r>
        <w:fldSimple w:instr=" PAGE   \* MERGEFORMAT ">
          <w:r w:rsidR="00D46243">
            <w:rPr>
              <w:noProof/>
            </w:rPr>
            <w:t>1</w:t>
          </w:r>
        </w:fldSimple>
      </w:p>
    </w:sdtContent>
  </w:sdt>
  <w:p w:rsidR="00820D5F" w:rsidRDefault="00820D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AF7" w:rsidRDefault="001D2AF7" w:rsidP="00820D5F">
      <w:pPr>
        <w:spacing w:after="0" w:line="240" w:lineRule="auto"/>
      </w:pPr>
      <w:r>
        <w:separator/>
      </w:r>
    </w:p>
  </w:footnote>
  <w:footnote w:type="continuationSeparator" w:id="0">
    <w:p w:rsidR="001D2AF7" w:rsidRDefault="001D2AF7" w:rsidP="00820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17D5"/>
    <w:multiLevelType w:val="multilevel"/>
    <w:tmpl w:val="F96C2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36478D"/>
    <w:multiLevelType w:val="multilevel"/>
    <w:tmpl w:val="6304F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DE67FC"/>
    <w:multiLevelType w:val="multilevel"/>
    <w:tmpl w:val="1B0C0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983587"/>
    <w:multiLevelType w:val="multilevel"/>
    <w:tmpl w:val="6A36F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6B4BF9"/>
    <w:multiLevelType w:val="multilevel"/>
    <w:tmpl w:val="99EA0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067509"/>
    <w:multiLevelType w:val="multilevel"/>
    <w:tmpl w:val="59EC4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2B6E9B"/>
    <w:multiLevelType w:val="multilevel"/>
    <w:tmpl w:val="F59C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96039"/>
    <w:multiLevelType w:val="hybridMultilevel"/>
    <w:tmpl w:val="778EEA1E"/>
    <w:lvl w:ilvl="0" w:tplc="0A5CE3E4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CC8378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FE54F2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0CFF54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963E1C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500B72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0D488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060AA4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34EE88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B92DF3"/>
    <w:multiLevelType w:val="multilevel"/>
    <w:tmpl w:val="211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3C1C94"/>
    <w:multiLevelType w:val="multilevel"/>
    <w:tmpl w:val="333CF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C55A79"/>
    <w:multiLevelType w:val="multilevel"/>
    <w:tmpl w:val="1CE01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653B62"/>
    <w:multiLevelType w:val="multilevel"/>
    <w:tmpl w:val="BEC89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F97F9C"/>
    <w:multiLevelType w:val="multilevel"/>
    <w:tmpl w:val="C0E22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3F509E5"/>
    <w:multiLevelType w:val="multilevel"/>
    <w:tmpl w:val="954E7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65710E"/>
    <w:multiLevelType w:val="multilevel"/>
    <w:tmpl w:val="D7D0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994F42"/>
    <w:multiLevelType w:val="multilevel"/>
    <w:tmpl w:val="CE84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185AD3"/>
    <w:multiLevelType w:val="multilevel"/>
    <w:tmpl w:val="25E8A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1B22ED"/>
    <w:multiLevelType w:val="multilevel"/>
    <w:tmpl w:val="1134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552592"/>
    <w:multiLevelType w:val="multilevel"/>
    <w:tmpl w:val="34760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0D17D76"/>
    <w:multiLevelType w:val="hybridMultilevel"/>
    <w:tmpl w:val="DE9A609C"/>
    <w:lvl w:ilvl="0" w:tplc="951A8C5A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F85EEA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80FFF4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A81B4E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2A612C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BACD16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341932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E043E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D235F6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1D71E7"/>
    <w:multiLevelType w:val="multilevel"/>
    <w:tmpl w:val="16D0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2CD1C49"/>
    <w:multiLevelType w:val="multilevel"/>
    <w:tmpl w:val="9A90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5CC221F"/>
    <w:multiLevelType w:val="multilevel"/>
    <w:tmpl w:val="4E9E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6D11F2E"/>
    <w:multiLevelType w:val="multilevel"/>
    <w:tmpl w:val="AF3C0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C95FA9"/>
    <w:multiLevelType w:val="multilevel"/>
    <w:tmpl w:val="31D2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DE3DAF"/>
    <w:multiLevelType w:val="multilevel"/>
    <w:tmpl w:val="5C84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CE2847"/>
    <w:multiLevelType w:val="multilevel"/>
    <w:tmpl w:val="B76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3D44C1B"/>
    <w:multiLevelType w:val="multilevel"/>
    <w:tmpl w:val="E3C24E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19"/>
  </w:num>
  <w:num w:numId="4">
    <w:abstractNumId w:val="7"/>
  </w:num>
  <w:num w:numId="5">
    <w:abstractNumId w:val="15"/>
  </w:num>
  <w:num w:numId="6">
    <w:abstractNumId w:val="16"/>
  </w:num>
  <w:num w:numId="7">
    <w:abstractNumId w:val="23"/>
  </w:num>
  <w:num w:numId="8">
    <w:abstractNumId w:val="13"/>
  </w:num>
  <w:num w:numId="9">
    <w:abstractNumId w:val="10"/>
  </w:num>
  <w:num w:numId="10">
    <w:abstractNumId w:val="1"/>
  </w:num>
  <w:num w:numId="11">
    <w:abstractNumId w:val="2"/>
  </w:num>
  <w:num w:numId="12">
    <w:abstractNumId w:val="17"/>
  </w:num>
  <w:num w:numId="13">
    <w:abstractNumId w:val="22"/>
  </w:num>
  <w:num w:numId="14">
    <w:abstractNumId w:val="25"/>
  </w:num>
  <w:num w:numId="15">
    <w:abstractNumId w:val="18"/>
  </w:num>
  <w:num w:numId="16">
    <w:abstractNumId w:val="24"/>
  </w:num>
  <w:num w:numId="17">
    <w:abstractNumId w:val="12"/>
  </w:num>
  <w:num w:numId="18">
    <w:abstractNumId w:val="20"/>
  </w:num>
  <w:num w:numId="19">
    <w:abstractNumId w:val="4"/>
  </w:num>
  <w:num w:numId="20">
    <w:abstractNumId w:val="26"/>
  </w:num>
  <w:num w:numId="21">
    <w:abstractNumId w:val="8"/>
  </w:num>
  <w:num w:numId="22">
    <w:abstractNumId w:val="21"/>
  </w:num>
  <w:num w:numId="23">
    <w:abstractNumId w:val="0"/>
  </w:num>
  <w:num w:numId="24">
    <w:abstractNumId w:val="5"/>
  </w:num>
  <w:num w:numId="25">
    <w:abstractNumId w:val="11"/>
  </w:num>
  <w:num w:numId="26">
    <w:abstractNumId w:val="27"/>
  </w:num>
  <w:num w:numId="27">
    <w:abstractNumId w:val="14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5F"/>
    <w:rsid w:val="000761A3"/>
    <w:rsid w:val="000C5C99"/>
    <w:rsid w:val="001A1EF3"/>
    <w:rsid w:val="001D2AF7"/>
    <w:rsid w:val="002635FC"/>
    <w:rsid w:val="0031032B"/>
    <w:rsid w:val="00422457"/>
    <w:rsid w:val="004D6901"/>
    <w:rsid w:val="00554F1C"/>
    <w:rsid w:val="005923F5"/>
    <w:rsid w:val="008112DF"/>
    <w:rsid w:val="00820D5F"/>
    <w:rsid w:val="008B5961"/>
    <w:rsid w:val="00B56FAB"/>
    <w:rsid w:val="00BD1989"/>
    <w:rsid w:val="00C03957"/>
    <w:rsid w:val="00D46243"/>
    <w:rsid w:val="00E8178F"/>
    <w:rsid w:val="00EA18AB"/>
    <w:rsid w:val="00F1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78F"/>
  </w:style>
  <w:style w:type="paragraph" w:styleId="Heading1">
    <w:name w:val="heading 1"/>
    <w:basedOn w:val="Normal"/>
    <w:link w:val="Heading1Char"/>
    <w:uiPriority w:val="9"/>
    <w:qFormat/>
    <w:rsid w:val="00820D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3366"/>
      <w:kern w:val="36"/>
      <w:sz w:val="48"/>
      <w:szCs w:val="48"/>
    </w:rPr>
  </w:style>
  <w:style w:type="paragraph" w:styleId="Heading5">
    <w:name w:val="heading 5"/>
    <w:basedOn w:val="Normal"/>
    <w:link w:val="Heading5Char"/>
    <w:uiPriority w:val="9"/>
    <w:qFormat/>
    <w:rsid w:val="00820D5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color w:val="0033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D5F"/>
    <w:rPr>
      <w:rFonts w:ascii="Times New Roman" w:eastAsia="Times New Roman" w:hAnsi="Times New Roman" w:cs="Times New Roman"/>
      <w:b/>
      <w:bCs/>
      <w:color w:val="003366"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820D5F"/>
    <w:rPr>
      <w:rFonts w:ascii="Times New Roman" w:eastAsia="Times New Roman" w:hAnsi="Times New Roman" w:cs="Times New Roman"/>
      <w:b/>
      <w:bCs/>
      <w:color w:val="003366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820D5F"/>
    <w:rPr>
      <w:color w:val="3366CC"/>
      <w:u w:val="single"/>
    </w:rPr>
  </w:style>
  <w:style w:type="character" w:styleId="Strong">
    <w:name w:val="Strong"/>
    <w:basedOn w:val="DefaultParagraphFont"/>
    <w:uiPriority w:val="22"/>
    <w:qFormat/>
    <w:rsid w:val="00820D5F"/>
    <w:rPr>
      <w:b/>
      <w:bCs/>
    </w:rPr>
  </w:style>
  <w:style w:type="paragraph" w:styleId="NormalWeb">
    <w:name w:val="Normal (Web)"/>
    <w:basedOn w:val="Normal"/>
    <w:uiPriority w:val="99"/>
    <w:unhideWhenUsed/>
    <w:rsid w:val="00820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3366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20D5F"/>
    <w:rPr>
      <w:i/>
      <w:iCs/>
    </w:rPr>
  </w:style>
  <w:style w:type="paragraph" w:styleId="ListParagraph">
    <w:name w:val="List Paragraph"/>
    <w:basedOn w:val="Normal"/>
    <w:uiPriority w:val="34"/>
    <w:qFormat/>
    <w:rsid w:val="00820D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3366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0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0D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0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D5F"/>
  </w:style>
  <w:style w:type="paragraph" w:styleId="Footer">
    <w:name w:val="footer"/>
    <w:basedOn w:val="Normal"/>
    <w:link w:val="FooterChar"/>
    <w:uiPriority w:val="99"/>
    <w:unhideWhenUsed/>
    <w:rsid w:val="00820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D5F"/>
  </w:style>
  <w:style w:type="character" w:customStyle="1" w:styleId="dsa1">
    <w:name w:val="ds_a1"/>
    <w:basedOn w:val="DefaultParagraphFont"/>
    <w:rsid w:val="00BD1989"/>
    <w:rPr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11324">
      <w:bodyDiv w:val="1"/>
      <w:marLeft w:val="0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8675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2455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428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14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8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118296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0639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400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98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2155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741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53287">
      <w:bodyDiv w:val="1"/>
      <w:marLeft w:val="0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259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3074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48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863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324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61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8249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2175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8211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04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27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90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5353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157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7132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19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175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hyperlink" Target="http://www.sun.com/service/warranty/product_warranty_chart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4.gif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5" Type="http://schemas.openxmlformats.org/officeDocument/2006/relationships/hyperlink" Target="http://www.buildingbrands.com/flash/game0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ourses.unt.edu/kt3650_9/sld004.htm" TargetMode="External"/><Relationship Id="rId20" Type="http://schemas.openxmlformats.org/officeDocument/2006/relationships/image" Target="media/image13.gi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6.gif"/><Relationship Id="rId28" Type="http://schemas.openxmlformats.org/officeDocument/2006/relationships/footer" Target="footer1.xml"/><Relationship Id="rId10" Type="http://schemas.openxmlformats.org/officeDocument/2006/relationships/image" Target="media/image4.gif"/><Relationship Id="rId19" Type="http://schemas.openxmlformats.org/officeDocument/2006/relationships/image" Target="media/image12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Relationship Id="rId22" Type="http://schemas.openxmlformats.org/officeDocument/2006/relationships/image" Target="media/image15.gif"/><Relationship Id="rId27" Type="http://schemas.openxmlformats.org/officeDocument/2006/relationships/hyperlink" Target="http://www.macleans.ca/article.jsp?content=20050103_131129_4964&amp;source=src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1509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10092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paul.tilley</dc:creator>
  <cp:keywords/>
  <dc:description/>
  <cp:lastModifiedBy>paul.tilley</cp:lastModifiedBy>
  <cp:revision>2</cp:revision>
  <cp:lastPrinted>2011-02-07T17:33:00Z</cp:lastPrinted>
  <dcterms:created xsi:type="dcterms:W3CDTF">2011-02-07T17:33:00Z</dcterms:created>
  <dcterms:modified xsi:type="dcterms:W3CDTF">2011-02-07T17:33:00Z</dcterms:modified>
</cp:coreProperties>
</file>